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高频电刀技术参数</w:t>
      </w:r>
    </w:p>
    <w:p/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8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参数内容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15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电刀具备单/双极脚踏共用接口，方便腔镜连接使用。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配备单极脚踏控制系统，同时可以实现双极电凝需求。脚踏主体以高品质铝制成，防滑基座，防水连接，在电切与电凝之间有隔板，防止误操作。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电刀输出功率有效率98﹪。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电刀必须具备三种切割模式；四种凝血模式；三种双极输出模式。可以同时接两个单极电刀笔，而且可以同时输出同时工作（并非交替输出工作）。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具备低电压切割，峰值电压1350伏，适用于整形、小儿、五官外科等精细组织的切割和腔镜外科。具备LCF电灼凝血，峰值电压6900伏，适用于大部分浅表和腔镜手术凝血。具备喷射性凝血，峰值电压9000伏，适用于大面积的组织渗血，而只造成非常表浅的组织焦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双极供能具备宏双极输出模式，可以用于现代腔镜外科的双极切割和凝血。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电刀主机</w:t>
            </w:r>
            <w:r>
              <w:rPr>
                <w:rFonts w:ascii="宋体" w:hAnsi="宋体"/>
                <w:color w:val="000000"/>
                <w:sz w:val="24"/>
              </w:rPr>
              <w:t>带有回路负极板接触质量监测系统,可随时监测负极板和病人体表的接触面积质量,接触质量不好时主机立刻停止输出,彻底消除负极板烫伤的危险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精确双极电凝，功率1-70W，在此功率范围内当双极间组织电阻值达到100欧姆时，输出功率开始缓缓下降，方便用于神经外科、显微外科和其它应用双极的外科手术。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设备具有组织密度即时反馈系统，该系统可依组织密度变化而由电脑控制进行输出的自动调节，而不必人为调节。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带射频启动口,可以连接吸烟装置。带有RS232串口，通过通讯装置或者多媒体可采集电刀的有关信息，为医疗事故提供依据。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可与所有内窥镜相连，将来可联接氩气车而升级为氩气刀，并且有CEM接口，可以连接超声外科吸引器。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默认输出模式设置，更人性化，方便临床使用。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25" w:type="dxa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color w:val="000000"/>
                <w:sz w:val="24"/>
              </w:rPr>
            </w:pPr>
          </w:p>
        </w:tc>
        <w:tc>
          <w:tcPr>
            <w:tcW w:w="8103" w:type="dxa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*</w:t>
            </w:r>
            <w:r>
              <w:rPr>
                <w:rFonts w:hint="eastAsia" w:ascii="宋体" w:hAnsi="宋体"/>
                <w:color w:val="000000"/>
                <w:sz w:val="24"/>
              </w:rPr>
              <w:t>可以同时接两个单极电刀笔，而且可以同时输出同时工作（并非交替输出工作），更便于开展心脏手术。</w:t>
            </w:r>
          </w:p>
        </w:tc>
      </w:tr>
    </w:tbl>
    <w:p/>
    <w:p/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产品保修期：3年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到货周期：按医院要求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数量</w:t>
      </w:r>
      <w:r>
        <w:rPr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24"/>
        </w:rPr>
        <w:t>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67C4D"/>
    <w:multiLevelType w:val="multilevel"/>
    <w:tmpl w:val="6A767C4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7DD"/>
    <w:rsid w:val="000B382D"/>
    <w:rsid w:val="002104B8"/>
    <w:rsid w:val="004F11F1"/>
    <w:rsid w:val="005526C2"/>
    <w:rsid w:val="005A0E03"/>
    <w:rsid w:val="008A127D"/>
    <w:rsid w:val="008E77DD"/>
    <w:rsid w:val="00B24ED2"/>
    <w:rsid w:val="00BF429C"/>
    <w:rsid w:val="00F42B1F"/>
    <w:rsid w:val="4D12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/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5"/>
    <w:link w:val="2"/>
    <w:uiPriority w:val="9"/>
    <w:rPr>
      <w:b/>
      <w:bCs/>
      <w:kern w:val="44"/>
      <w:sz w:val="44"/>
      <w:szCs w:val="4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/>
      <w:szCs w:val="22"/>
    </w:rPr>
  </w:style>
  <w:style w:type="character" w:customStyle="1" w:styleId="9">
    <w:name w:val="页眉 Char"/>
    <w:basedOn w:val="5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668</Characters>
  <Lines>5</Lines>
  <Paragraphs>1</Paragraphs>
  <TotalTime>1</TotalTime>
  <ScaleCrop>false</ScaleCrop>
  <LinksUpToDate>false</LinksUpToDate>
  <CharactersWithSpaces>784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2019-03-12T07:18:00Z</dcterms:created>
  <dc:creator>de</dc:creator>
  <cp:lastModifiedBy>田竞冉-JokeR-主理人</cp:lastModifiedBy>
  <dcterms:modified xsi:type="dcterms:W3CDTF">2019-03-18T01:32:43Z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