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85C" w:rsidRPr="00967FCB" w:rsidRDefault="00F345C3" w:rsidP="00967FCB">
      <w:pPr>
        <w:pStyle w:val="af"/>
        <w:spacing w:before="156" w:after="156"/>
        <w:ind w:firstLineChars="725" w:firstLine="1747"/>
        <w:rPr>
          <w:b/>
          <w:lang w:eastAsia="zh-CN"/>
        </w:rPr>
      </w:pPr>
      <w:r w:rsidRPr="00967FCB">
        <w:rPr>
          <w:rFonts w:hint="eastAsia"/>
          <w:b/>
          <w:lang w:eastAsia="zh-CN"/>
        </w:rPr>
        <w:t>北京大学人民医院智慧</w:t>
      </w:r>
      <w:r w:rsidR="00A04893">
        <w:rPr>
          <w:rFonts w:hint="eastAsia"/>
          <w:b/>
          <w:lang w:eastAsia="zh-CN"/>
        </w:rPr>
        <w:t>医</w:t>
      </w:r>
      <w:r w:rsidR="005F0A28">
        <w:rPr>
          <w:rFonts w:hint="eastAsia"/>
          <w:b/>
          <w:lang w:eastAsia="zh-CN"/>
        </w:rPr>
        <w:t>疗</w:t>
      </w:r>
      <w:r w:rsidRPr="00967FCB">
        <w:rPr>
          <w:rFonts w:hint="eastAsia"/>
          <w:b/>
          <w:lang w:eastAsia="zh-CN"/>
        </w:rPr>
        <w:t>六级</w:t>
      </w:r>
      <w:r w:rsidR="00A04893">
        <w:rPr>
          <w:rFonts w:hint="eastAsia"/>
          <w:b/>
          <w:lang w:eastAsia="zh-CN"/>
        </w:rPr>
        <w:t>建设</w:t>
      </w:r>
      <w:r w:rsidRPr="00967FCB">
        <w:rPr>
          <w:rFonts w:hint="eastAsia"/>
          <w:b/>
          <w:lang w:eastAsia="zh-CN"/>
        </w:rPr>
        <w:t>-</w:t>
      </w:r>
      <w:r w:rsidRPr="00967FCB">
        <w:rPr>
          <w:rFonts w:hint="eastAsia"/>
          <w:b/>
          <w:lang w:eastAsia="zh-CN"/>
        </w:rPr>
        <w:t>输血系统改造</w:t>
      </w:r>
      <w:r w:rsidRPr="00967FCB">
        <w:rPr>
          <w:b/>
          <w:lang w:eastAsia="zh-CN"/>
        </w:rPr>
        <w:t>项目</w:t>
      </w:r>
    </w:p>
    <w:p w:rsidR="009E385C" w:rsidRDefault="00F345C3" w:rsidP="00A04893">
      <w:pPr>
        <w:pStyle w:val="af"/>
        <w:spacing w:before="156" w:after="156"/>
        <w:ind w:firstLineChars="1603" w:firstLine="3862"/>
        <w:rPr>
          <w:rFonts w:ascii="宋体" w:hAnsi="宋体"/>
          <w:sz w:val="32"/>
          <w:szCs w:val="32"/>
        </w:rPr>
      </w:pPr>
      <w:r w:rsidRPr="00967FCB">
        <w:rPr>
          <w:b/>
          <w:lang w:eastAsia="zh-CN"/>
        </w:rPr>
        <w:t>采购文件</w:t>
      </w:r>
    </w:p>
    <w:p w:rsidR="009E385C" w:rsidRDefault="00F345C3">
      <w:pPr>
        <w:pStyle w:val="ad"/>
        <w:numPr>
          <w:ilvl w:val="0"/>
          <w:numId w:val="2"/>
        </w:numPr>
        <w:spacing w:line="360" w:lineRule="auto"/>
        <w:ind w:firstLineChars="0"/>
        <w:jc w:val="left"/>
        <w:rPr>
          <w:rFonts w:ascii="宋体" w:hAnsi="宋体"/>
          <w:b/>
          <w:szCs w:val="21"/>
        </w:rPr>
      </w:pPr>
      <w:r>
        <w:rPr>
          <w:rFonts w:ascii="宋体" w:hAnsi="宋体" w:hint="eastAsia"/>
          <w:b/>
          <w:szCs w:val="21"/>
        </w:rPr>
        <w:t>项目概述</w:t>
      </w:r>
    </w:p>
    <w:p w:rsidR="009E385C" w:rsidRDefault="00ED7DE1">
      <w:pPr>
        <w:spacing w:line="360" w:lineRule="auto"/>
        <w:ind w:firstLine="420"/>
      </w:pPr>
      <w:r>
        <w:rPr>
          <w:rFonts w:hint="eastAsia"/>
        </w:rPr>
        <w:t>为</w:t>
      </w:r>
      <w:r w:rsidR="00FF65E6">
        <w:rPr>
          <w:rFonts w:hint="eastAsia"/>
        </w:rPr>
        <w:t>满足</w:t>
      </w:r>
      <w:r w:rsidR="00F345C3">
        <w:rPr>
          <w:rFonts w:hint="eastAsia"/>
        </w:rPr>
        <w:t>医院电子病历六级评审以及无纸化办公实施</w:t>
      </w:r>
      <w:r w:rsidR="00FF65E6">
        <w:rPr>
          <w:rFonts w:hint="eastAsia"/>
        </w:rPr>
        <w:t>要求</w:t>
      </w:r>
      <w:r w:rsidR="00F345C3">
        <w:rPr>
          <w:rFonts w:hint="eastAsia"/>
        </w:rPr>
        <w:t>,</w:t>
      </w:r>
      <w:r w:rsidR="00FF65E6">
        <w:rPr>
          <w:rFonts w:hint="eastAsia"/>
        </w:rPr>
        <w:t>并按照六级数据质量要求提供数据核验的相关脚本验证，基于</w:t>
      </w:r>
      <w:r w:rsidR="00FF65E6">
        <w:rPr>
          <w:rFonts w:hint="eastAsia"/>
        </w:rPr>
        <w:t>CA</w:t>
      </w:r>
      <w:r w:rsidR="00B73BAF">
        <w:rPr>
          <w:rFonts w:hint="eastAsia"/>
        </w:rPr>
        <w:t>电子签章实现数字签名和可追溯，</w:t>
      </w:r>
      <w:r w:rsidR="00FF65E6">
        <w:rPr>
          <w:rFonts w:hint="eastAsia"/>
        </w:rPr>
        <w:t>实现与医院电子病案管理系统</w:t>
      </w:r>
      <w:r w:rsidR="00B73BAF">
        <w:rPr>
          <w:rFonts w:hint="eastAsia"/>
        </w:rPr>
        <w:t>集成完成报告归档，将归档功能集成到现有的文档管理系统业务流程中，同时实现</w:t>
      </w:r>
      <w:r w:rsidR="00B42E4F">
        <w:rPr>
          <w:rFonts w:hint="eastAsia"/>
        </w:rPr>
        <w:t>输血系统配发血业务过程中调用知识库。</w:t>
      </w:r>
    </w:p>
    <w:p w:rsidR="009E385C" w:rsidRDefault="00F345C3">
      <w:pPr>
        <w:pStyle w:val="ad"/>
        <w:numPr>
          <w:ilvl w:val="0"/>
          <w:numId w:val="2"/>
        </w:numPr>
        <w:spacing w:line="360" w:lineRule="auto"/>
        <w:ind w:firstLineChars="0"/>
        <w:jc w:val="left"/>
        <w:rPr>
          <w:rFonts w:ascii="宋体" w:hAnsi="宋体"/>
          <w:b/>
          <w:szCs w:val="21"/>
        </w:rPr>
      </w:pPr>
      <w:r>
        <w:rPr>
          <w:rFonts w:ascii="宋体" w:hAnsi="宋体" w:hint="eastAsia"/>
          <w:b/>
          <w:szCs w:val="21"/>
        </w:rPr>
        <w:t>项目预算</w:t>
      </w:r>
    </w:p>
    <w:p w:rsidR="009E385C" w:rsidRDefault="00F345C3">
      <w:pPr>
        <w:pStyle w:val="ad"/>
        <w:spacing w:line="360" w:lineRule="auto"/>
        <w:ind w:left="432" w:firstLineChars="0" w:firstLine="0"/>
        <w:rPr>
          <w:rFonts w:ascii="宋体" w:hAnsi="宋体"/>
          <w:szCs w:val="21"/>
        </w:rPr>
      </w:pPr>
      <w:r>
        <w:rPr>
          <w:rFonts w:ascii="宋体" w:hAnsi="宋体" w:hint="eastAsia"/>
          <w:szCs w:val="21"/>
        </w:rPr>
        <w:t>项目预算总金额为8.10</w:t>
      </w:r>
      <w:r>
        <w:rPr>
          <w:rFonts w:ascii="宋体" w:hAnsi="宋体"/>
          <w:szCs w:val="21"/>
        </w:rPr>
        <w:t>万</w:t>
      </w:r>
      <w:r>
        <w:rPr>
          <w:rFonts w:ascii="宋体" w:hAnsi="宋体" w:hint="eastAsia"/>
          <w:szCs w:val="21"/>
        </w:rPr>
        <w:t>元。</w:t>
      </w:r>
    </w:p>
    <w:p w:rsidR="0044060A" w:rsidRDefault="00F345C3" w:rsidP="0044060A">
      <w:pPr>
        <w:pStyle w:val="ad"/>
        <w:numPr>
          <w:ilvl w:val="0"/>
          <w:numId w:val="2"/>
        </w:numPr>
        <w:spacing w:line="360" w:lineRule="auto"/>
        <w:ind w:firstLineChars="0"/>
        <w:jc w:val="left"/>
        <w:rPr>
          <w:rFonts w:ascii="宋体" w:hAnsi="宋体"/>
          <w:b/>
          <w:szCs w:val="21"/>
        </w:rPr>
      </w:pPr>
      <w:r>
        <w:rPr>
          <w:rFonts w:ascii="宋体" w:hAnsi="宋体" w:hint="eastAsia"/>
          <w:b/>
          <w:szCs w:val="21"/>
        </w:rPr>
        <w:t>服务期</w:t>
      </w:r>
    </w:p>
    <w:p w:rsidR="009E385C" w:rsidRPr="0044060A" w:rsidRDefault="00F345C3" w:rsidP="0044060A">
      <w:pPr>
        <w:pStyle w:val="ad"/>
        <w:spacing w:line="360" w:lineRule="auto"/>
        <w:ind w:left="432" w:firstLineChars="0" w:firstLine="0"/>
        <w:jc w:val="left"/>
        <w:rPr>
          <w:rFonts w:ascii="宋体" w:hAnsi="宋体"/>
          <w:b/>
          <w:szCs w:val="21"/>
        </w:rPr>
      </w:pPr>
      <w:r w:rsidRPr="00576098">
        <w:rPr>
          <w:rFonts w:ascii="宋体" w:hAnsi="宋体" w:hint="eastAsia"/>
          <w:szCs w:val="21"/>
        </w:rPr>
        <w:t>项目验收合格后需提供一年免费运维。</w:t>
      </w:r>
    </w:p>
    <w:p w:rsidR="009E385C" w:rsidRDefault="00F345C3">
      <w:pPr>
        <w:pStyle w:val="ad"/>
        <w:numPr>
          <w:ilvl w:val="0"/>
          <w:numId w:val="2"/>
        </w:numPr>
        <w:spacing w:line="360" w:lineRule="auto"/>
        <w:ind w:firstLineChars="0"/>
        <w:jc w:val="left"/>
        <w:rPr>
          <w:rFonts w:ascii="宋体" w:hAnsi="宋体"/>
          <w:b/>
          <w:szCs w:val="21"/>
        </w:rPr>
      </w:pPr>
      <w:r>
        <w:rPr>
          <w:rFonts w:ascii="宋体" w:hAnsi="宋体" w:hint="eastAsia"/>
          <w:b/>
          <w:szCs w:val="21"/>
        </w:rPr>
        <w:t>招标参数</w:t>
      </w:r>
    </w:p>
    <w:p w:rsidR="009E385C" w:rsidRDefault="00F345C3">
      <w:pPr>
        <w:pStyle w:val="5"/>
        <w:widowControl/>
        <w:numPr>
          <w:ilvl w:val="0"/>
          <w:numId w:val="3"/>
        </w:numPr>
        <w:shd w:val="clear" w:color="auto" w:fill="FFFFFF"/>
        <w:spacing w:before="274" w:beforeAutospacing="0" w:after="206" w:afterAutospacing="0" w:line="429" w:lineRule="atLeast"/>
        <w:rPr>
          <w:rStyle w:val="aa"/>
          <w:rFonts w:cs="宋体" w:hint="default"/>
          <w:b/>
          <w:sz w:val="21"/>
          <w:szCs w:val="21"/>
          <w:shd w:val="clear" w:color="auto" w:fill="FFFFFF"/>
        </w:rPr>
      </w:pPr>
      <w:r>
        <w:rPr>
          <w:rStyle w:val="aa"/>
          <w:rFonts w:cs="宋体"/>
          <w:b/>
          <w:sz w:val="21"/>
          <w:szCs w:val="21"/>
          <w:shd w:val="clear" w:color="auto" w:fill="FFFFFF"/>
        </w:rPr>
        <w:t>无纸化改造</w:t>
      </w:r>
    </w:p>
    <w:p w:rsidR="009E385C" w:rsidRDefault="00F345C3">
      <w:pPr>
        <w:numPr>
          <w:ilvl w:val="1"/>
          <w:numId w:val="3"/>
        </w:numPr>
        <w:rPr>
          <w:rFonts w:ascii="宋体" w:hAnsi="宋体" w:cs="宋体"/>
          <w:kern w:val="0"/>
          <w:szCs w:val="21"/>
        </w:rPr>
      </w:pPr>
      <w:r>
        <w:rPr>
          <w:rFonts w:hint="eastAsia"/>
        </w:rPr>
        <w:t>电子签章实现：</w:t>
      </w:r>
      <w:r>
        <w:rPr>
          <w:rFonts w:ascii="宋体" w:hAnsi="宋体" w:cs="宋体" w:hint="eastAsia"/>
          <w:kern w:val="0"/>
          <w:szCs w:val="21"/>
        </w:rPr>
        <w:t>采用协同签名验证方式接入BJCA；实现对发血报告进行数字签名；签名后文件需防篡改、可验真。</w:t>
      </w:r>
    </w:p>
    <w:p w:rsidR="009E385C" w:rsidRDefault="00F345C3">
      <w:pPr>
        <w:numPr>
          <w:ilvl w:val="1"/>
          <w:numId w:val="3"/>
        </w:numPr>
        <w:rPr>
          <w:rFonts w:ascii="宋体" w:hAnsi="宋体" w:cs="宋体"/>
          <w:kern w:val="0"/>
          <w:szCs w:val="21"/>
        </w:rPr>
      </w:pPr>
      <w:r>
        <w:rPr>
          <w:rFonts w:ascii="宋体" w:hAnsi="宋体" w:cs="宋体" w:hint="eastAsia"/>
          <w:kern w:val="0"/>
          <w:szCs w:val="21"/>
        </w:rPr>
        <w:t>发血报告无纸化上传：实现发血报告PDF格式自动生成与上传至归档系统；支持与电子签章系统联动，确保签名后上传。</w:t>
      </w:r>
    </w:p>
    <w:p w:rsidR="009E385C" w:rsidRDefault="00F345C3">
      <w:pPr>
        <w:pStyle w:val="5"/>
        <w:widowControl/>
        <w:numPr>
          <w:ilvl w:val="0"/>
          <w:numId w:val="3"/>
        </w:numPr>
        <w:shd w:val="clear" w:color="auto" w:fill="FFFFFF"/>
        <w:spacing w:before="274" w:beforeAutospacing="0" w:after="206" w:afterAutospacing="0" w:line="429" w:lineRule="atLeast"/>
        <w:rPr>
          <w:rStyle w:val="aa"/>
          <w:rFonts w:cs="宋体" w:hint="default"/>
          <w:b/>
          <w:sz w:val="21"/>
          <w:szCs w:val="21"/>
          <w:shd w:val="clear" w:color="auto" w:fill="FFFFFF"/>
        </w:rPr>
      </w:pPr>
      <w:r>
        <w:rPr>
          <w:rStyle w:val="aa"/>
          <w:rFonts w:cs="宋体"/>
          <w:b/>
          <w:sz w:val="21"/>
          <w:szCs w:val="21"/>
          <w:shd w:val="clear" w:color="auto" w:fill="FFFFFF"/>
        </w:rPr>
        <w:t>闭环系统改造</w:t>
      </w:r>
    </w:p>
    <w:p w:rsidR="009E385C" w:rsidRDefault="00F345C3">
      <w:pPr>
        <w:numPr>
          <w:ilvl w:val="1"/>
          <w:numId w:val="3"/>
        </w:numPr>
        <w:rPr>
          <w:rFonts w:ascii="宋体" w:hAnsi="宋体" w:cs="宋体"/>
          <w:kern w:val="0"/>
          <w:szCs w:val="21"/>
        </w:rPr>
      </w:pPr>
      <w:r>
        <w:rPr>
          <w:rFonts w:ascii="宋体" w:hAnsi="宋体" w:cs="宋体" w:hint="eastAsia"/>
          <w:kern w:val="0"/>
          <w:szCs w:val="21"/>
        </w:rPr>
        <w:t>血袋回收与销毁功能：新增血袋回收登记界面，记录回收时间、操作人员信息，支持销毁过程记录。</w:t>
      </w:r>
    </w:p>
    <w:p w:rsidR="009E385C" w:rsidRDefault="00F345C3">
      <w:pPr>
        <w:numPr>
          <w:ilvl w:val="1"/>
          <w:numId w:val="3"/>
        </w:numPr>
        <w:rPr>
          <w:rFonts w:ascii="宋体" w:hAnsi="宋体" w:cs="宋体"/>
          <w:kern w:val="0"/>
          <w:szCs w:val="21"/>
        </w:rPr>
      </w:pPr>
      <w:r>
        <w:rPr>
          <w:rFonts w:ascii="宋体" w:hAnsi="宋体" w:cs="宋体" w:hint="eastAsia"/>
          <w:kern w:val="0"/>
          <w:szCs w:val="21"/>
        </w:rPr>
        <w:t>输血闭环接口开发：实现与闭环系统的接口调用，按闭环系统接口规范上传输血闭环各节点数据。</w:t>
      </w:r>
    </w:p>
    <w:p w:rsidR="009E385C" w:rsidRDefault="00F345C3">
      <w:pPr>
        <w:widowControl/>
        <w:spacing w:line="26" w:lineRule="atLeast"/>
        <w:jc w:val="left"/>
        <w:rPr>
          <w:rFonts w:ascii="宋体" w:hAnsi="宋体" w:cs="宋体"/>
          <w:kern w:val="0"/>
          <w:szCs w:val="21"/>
        </w:rPr>
      </w:pPr>
      <w:r>
        <w:rPr>
          <w:rFonts w:ascii="宋体" w:hAnsi="宋体" w:cs="宋体" w:hint="eastAsia"/>
          <w:kern w:val="0"/>
          <w:szCs w:val="21"/>
        </w:rPr>
        <w:t>业务节点闭环上传：在输血系统“标本签收”业务中实现业务节点数据上传至闭环系统；在输血系统“交叉配血”业务中实现业务节点数据上传至闭环系统；在输血系统“配血审核”业务中实现业务节点数据上传至闭环系统；在输血系统“配血审核”业务中实现业务节点数据上传至闭环系统；在输血系统“配血报告发布”业务中实现业务节点数据上传至闭环系统；在输血系统“撤销交叉配血报告审核”业务中实现业务节点数据上传至闭环系统；在输血系统“发血”业务中实现业务节点数据上传至闭环系统；在输血系统“血袋回收”业务中实现业务节点数据上传至闭环系统；在输血系统“血袋销毁”业务中实现业务节点数据上传至闭环系统。</w:t>
      </w:r>
    </w:p>
    <w:p w:rsidR="009E385C" w:rsidRDefault="00F345C3">
      <w:pPr>
        <w:widowControl/>
        <w:spacing w:line="26" w:lineRule="atLeast"/>
        <w:jc w:val="left"/>
        <w:rPr>
          <w:rFonts w:ascii="宋体" w:hAnsi="宋体" w:cs="宋体"/>
          <w:kern w:val="0"/>
          <w:szCs w:val="21"/>
        </w:rPr>
      </w:pPr>
      <w:r>
        <w:rPr>
          <w:rFonts w:ascii="宋体" w:hAnsi="宋体" w:cs="宋体" w:hint="eastAsia"/>
          <w:kern w:val="0"/>
          <w:szCs w:val="21"/>
        </w:rPr>
        <w:t>2.3 闭环展示链接：在输血系统内嵌入闭环信息展示页面</w:t>
      </w:r>
    </w:p>
    <w:p w:rsidR="009E385C" w:rsidRDefault="00F345C3">
      <w:pPr>
        <w:pStyle w:val="5"/>
        <w:widowControl/>
        <w:shd w:val="clear" w:color="auto" w:fill="FFFFFF"/>
        <w:spacing w:before="274" w:beforeAutospacing="0" w:after="206" w:afterAutospacing="0" w:line="429" w:lineRule="atLeast"/>
        <w:rPr>
          <w:rStyle w:val="aa"/>
          <w:rFonts w:cs="宋体" w:hint="default"/>
          <w:b/>
          <w:sz w:val="21"/>
          <w:szCs w:val="21"/>
          <w:shd w:val="clear" w:color="auto" w:fill="FFFFFF"/>
        </w:rPr>
      </w:pPr>
      <w:r>
        <w:rPr>
          <w:rStyle w:val="aa"/>
          <w:rFonts w:cs="宋体"/>
          <w:b/>
          <w:sz w:val="21"/>
          <w:szCs w:val="21"/>
          <w:shd w:val="clear" w:color="auto" w:fill="FFFFFF"/>
        </w:rPr>
        <w:t>3. CDSS改造</w:t>
      </w:r>
    </w:p>
    <w:p w:rsidR="009E385C" w:rsidRDefault="00F345C3">
      <w:pPr>
        <w:rPr>
          <w:rFonts w:ascii="宋体" w:hAnsi="宋体" w:cs="宋体"/>
          <w:kern w:val="0"/>
          <w:szCs w:val="21"/>
        </w:rPr>
      </w:pPr>
      <w:r>
        <w:rPr>
          <w:rFonts w:ascii="宋体" w:hAnsi="宋体" w:cs="宋体" w:hint="eastAsia"/>
          <w:kern w:val="0"/>
          <w:szCs w:val="21"/>
        </w:rPr>
        <w:t>3.1 知识库服务接口调用：实现对知识库系统接口的调用</w:t>
      </w:r>
    </w:p>
    <w:p w:rsidR="009E385C" w:rsidRDefault="00F345C3">
      <w:pPr>
        <w:rPr>
          <w:rFonts w:ascii="宋体" w:hAnsi="宋体" w:cs="宋体"/>
          <w:kern w:val="0"/>
          <w:szCs w:val="21"/>
        </w:rPr>
      </w:pPr>
      <w:r>
        <w:rPr>
          <w:rFonts w:ascii="宋体" w:hAnsi="宋体" w:cs="宋体" w:hint="eastAsia"/>
          <w:kern w:val="0"/>
          <w:szCs w:val="21"/>
        </w:rPr>
        <w:t>3.2 业务流程集成：在配血、发血界面后台组织查询参数，自动调用知识库接口，获取知识</w:t>
      </w:r>
      <w:r>
        <w:rPr>
          <w:rFonts w:ascii="宋体" w:hAnsi="宋体" w:cs="宋体" w:hint="eastAsia"/>
          <w:kern w:val="0"/>
          <w:szCs w:val="21"/>
        </w:rPr>
        <w:lastRenderedPageBreak/>
        <w:t>库系统的风险提示信息；以弹窗形式展示风险提示</w:t>
      </w:r>
    </w:p>
    <w:p w:rsidR="009E385C" w:rsidRDefault="009E385C">
      <w:pPr>
        <w:rPr>
          <w:rFonts w:ascii="宋体" w:hAnsi="宋体" w:cs="宋体"/>
          <w:kern w:val="0"/>
          <w:szCs w:val="21"/>
        </w:rPr>
      </w:pPr>
    </w:p>
    <w:p w:rsidR="009E385C" w:rsidRDefault="00F345C3">
      <w:pPr>
        <w:pStyle w:val="ad"/>
        <w:numPr>
          <w:ilvl w:val="0"/>
          <w:numId w:val="2"/>
        </w:numPr>
        <w:spacing w:line="360" w:lineRule="auto"/>
        <w:ind w:firstLineChars="0"/>
        <w:jc w:val="left"/>
        <w:rPr>
          <w:rFonts w:ascii="宋体" w:hAnsi="宋体"/>
          <w:b/>
          <w:szCs w:val="21"/>
        </w:rPr>
      </w:pPr>
      <w:r>
        <w:rPr>
          <w:rFonts w:ascii="宋体" w:hAnsi="宋体" w:hint="eastAsia"/>
          <w:b/>
          <w:szCs w:val="21"/>
        </w:rPr>
        <w:t>响应人资格要求：</w:t>
      </w:r>
    </w:p>
    <w:p w:rsidR="009E385C" w:rsidRDefault="00F345C3">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9E385C" w:rsidRDefault="00F345C3">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9E385C" w:rsidRDefault="00F345C3">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9E385C" w:rsidRDefault="00F345C3">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9E385C" w:rsidRDefault="00F345C3">
      <w:pPr>
        <w:widowControl/>
        <w:spacing w:line="360" w:lineRule="auto"/>
        <w:jc w:val="left"/>
        <w:rPr>
          <w:rFonts w:ascii="宋体" w:hAnsi="宋体"/>
          <w:szCs w:val="21"/>
        </w:rPr>
      </w:pPr>
      <w:r>
        <w:rPr>
          <w:rFonts w:ascii="宋体" w:hAnsi="宋体" w:hint="eastAsia"/>
          <w:kern w:val="0"/>
          <w:szCs w:val="21"/>
        </w:rPr>
        <w:t>5.法律、法规规定的其他条件</w:t>
      </w:r>
      <w:r>
        <w:rPr>
          <w:rFonts w:ascii="宋体" w:hAnsi="宋体" w:hint="eastAsia"/>
          <w:szCs w:val="21"/>
        </w:rPr>
        <w:t>。</w:t>
      </w:r>
    </w:p>
    <w:p w:rsidR="009E385C" w:rsidRDefault="00F345C3">
      <w:pPr>
        <w:pStyle w:val="ad"/>
        <w:numPr>
          <w:ilvl w:val="0"/>
          <w:numId w:val="2"/>
        </w:numPr>
        <w:spacing w:line="360" w:lineRule="auto"/>
        <w:ind w:firstLineChars="0"/>
        <w:jc w:val="left"/>
        <w:rPr>
          <w:rFonts w:ascii="宋体" w:hAnsi="宋体"/>
          <w:b/>
          <w:szCs w:val="21"/>
        </w:rPr>
      </w:pPr>
      <w:bookmarkStart w:id="0" w:name="OLE_LINK2"/>
      <w:r>
        <w:rPr>
          <w:rFonts w:ascii="宋体" w:hAnsi="宋体" w:hint="eastAsia"/>
          <w:b/>
          <w:szCs w:val="21"/>
        </w:rPr>
        <w:t>采购文件</w:t>
      </w:r>
      <w:bookmarkEnd w:id="0"/>
      <w:r>
        <w:rPr>
          <w:rFonts w:ascii="宋体" w:hAnsi="宋体" w:hint="eastAsia"/>
          <w:b/>
          <w:szCs w:val="21"/>
        </w:rPr>
        <w:t>编写：</w:t>
      </w:r>
    </w:p>
    <w:p w:rsidR="009E385C" w:rsidRDefault="00F345C3">
      <w:pPr>
        <w:widowControl/>
        <w:spacing w:line="360" w:lineRule="auto"/>
        <w:jc w:val="left"/>
        <w:rPr>
          <w:rFonts w:ascii="宋体" w:hAnsi="宋体"/>
          <w:bCs/>
          <w:szCs w:val="21"/>
        </w:rPr>
      </w:pPr>
      <w:r>
        <w:rPr>
          <w:rFonts w:ascii="宋体" w:hAnsi="宋体" w:hint="eastAsia"/>
          <w:bCs/>
          <w:szCs w:val="21"/>
        </w:rPr>
        <w:t>1</w:t>
      </w:r>
      <w:bookmarkStart w:id="1" w:name="OLE_LINK4"/>
      <w:r>
        <w:rPr>
          <w:rFonts w:ascii="宋体" w:hAnsi="宋体" w:hint="eastAsia"/>
          <w:bCs/>
          <w:szCs w:val="21"/>
        </w:rPr>
        <w:t>．采购文件</w:t>
      </w:r>
      <w:bookmarkEnd w:id="1"/>
      <w:r>
        <w:rPr>
          <w:rFonts w:ascii="宋体" w:hAnsi="宋体" w:hint="eastAsia"/>
          <w:bCs/>
          <w:szCs w:val="21"/>
        </w:rPr>
        <w:t>应以中文书写。</w:t>
      </w:r>
    </w:p>
    <w:p w:rsidR="009E385C" w:rsidRDefault="00F345C3">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9E385C" w:rsidRDefault="00F345C3">
      <w:pPr>
        <w:widowControl/>
        <w:spacing w:line="360" w:lineRule="auto"/>
        <w:jc w:val="left"/>
        <w:rPr>
          <w:rFonts w:ascii="宋体" w:hAnsi="宋体"/>
          <w:bCs/>
          <w:szCs w:val="21"/>
        </w:rPr>
      </w:pPr>
      <w:r>
        <w:rPr>
          <w:rFonts w:ascii="宋体" w:hAnsi="宋体" w:hint="eastAsia"/>
          <w:bCs/>
          <w:szCs w:val="21"/>
        </w:rPr>
        <w:t>1）企业营业执照复印件（加盖公章）</w:t>
      </w:r>
    </w:p>
    <w:p w:rsidR="009E385C" w:rsidRDefault="00F345C3">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9E385C" w:rsidRDefault="00F345C3">
      <w:pPr>
        <w:spacing w:line="360" w:lineRule="auto"/>
        <w:rPr>
          <w:rFonts w:ascii="宋体" w:hAnsi="宋体"/>
          <w:szCs w:val="21"/>
        </w:rPr>
      </w:pPr>
      <w:r>
        <w:rPr>
          <w:rFonts w:ascii="宋体" w:hAnsi="宋体"/>
          <w:szCs w:val="21"/>
        </w:rPr>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9E385C" w:rsidRDefault="00F345C3">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9"/>
        <w:tblW w:w="4908" w:type="pct"/>
        <w:tblInd w:w="108" w:type="dxa"/>
        <w:tblLook w:val="04A0"/>
      </w:tblPr>
      <w:tblGrid>
        <w:gridCol w:w="710"/>
        <w:gridCol w:w="2551"/>
        <w:gridCol w:w="2267"/>
        <w:gridCol w:w="2837"/>
      </w:tblGrid>
      <w:tr w:rsidR="009E385C">
        <w:tc>
          <w:tcPr>
            <w:tcW w:w="424" w:type="pct"/>
            <w:vAlign w:val="center"/>
          </w:tcPr>
          <w:p w:rsidR="009E385C" w:rsidRDefault="00F345C3">
            <w:pPr>
              <w:widowControl/>
              <w:spacing w:line="360" w:lineRule="auto"/>
              <w:jc w:val="center"/>
              <w:rPr>
                <w:rFonts w:ascii="宋体" w:hAnsi="宋体"/>
                <w:bCs/>
                <w:kern w:val="0"/>
                <w:sz w:val="20"/>
                <w:szCs w:val="21"/>
              </w:rPr>
            </w:pPr>
            <w:r>
              <w:rPr>
                <w:rFonts w:ascii="宋体" w:hAnsi="宋体" w:hint="eastAsia"/>
                <w:bCs/>
                <w:kern w:val="0"/>
                <w:sz w:val="20"/>
                <w:szCs w:val="21"/>
              </w:rPr>
              <w:t>序号</w:t>
            </w:r>
          </w:p>
        </w:tc>
        <w:tc>
          <w:tcPr>
            <w:tcW w:w="1525" w:type="pct"/>
            <w:vAlign w:val="center"/>
          </w:tcPr>
          <w:p w:rsidR="009E385C" w:rsidRDefault="00F345C3">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9E385C" w:rsidRDefault="00F345C3">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9E385C" w:rsidRDefault="00F345C3">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9E385C">
        <w:tc>
          <w:tcPr>
            <w:tcW w:w="424" w:type="pct"/>
            <w:vAlign w:val="center"/>
          </w:tcPr>
          <w:p w:rsidR="009E385C" w:rsidRDefault="00F345C3">
            <w:pPr>
              <w:widowControl/>
              <w:spacing w:line="360" w:lineRule="auto"/>
              <w:jc w:val="center"/>
              <w:rPr>
                <w:rFonts w:ascii="宋体" w:hAnsi="宋体"/>
                <w:bCs/>
                <w:kern w:val="0"/>
                <w:sz w:val="20"/>
                <w:szCs w:val="21"/>
              </w:rPr>
            </w:pPr>
            <w:r>
              <w:rPr>
                <w:rFonts w:ascii="宋体" w:hAnsi="宋体" w:hint="eastAsia"/>
                <w:bCs/>
                <w:kern w:val="0"/>
                <w:sz w:val="20"/>
                <w:szCs w:val="21"/>
              </w:rPr>
              <w:t>1</w:t>
            </w:r>
          </w:p>
        </w:tc>
        <w:tc>
          <w:tcPr>
            <w:tcW w:w="1525" w:type="pct"/>
            <w:vAlign w:val="center"/>
          </w:tcPr>
          <w:p w:rsidR="009E385C" w:rsidRDefault="009E385C">
            <w:pPr>
              <w:widowControl/>
              <w:spacing w:line="360" w:lineRule="auto"/>
              <w:jc w:val="center"/>
              <w:rPr>
                <w:rFonts w:ascii="宋体" w:hAnsi="宋体"/>
                <w:bCs/>
                <w:kern w:val="0"/>
                <w:sz w:val="20"/>
                <w:szCs w:val="21"/>
              </w:rPr>
            </w:pPr>
          </w:p>
        </w:tc>
        <w:tc>
          <w:tcPr>
            <w:tcW w:w="1355" w:type="pct"/>
            <w:vAlign w:val="center"/>
          </w:tcPr>
          <w:p w:rsidR="009E385C" w:rsidRDefault="009E385C">
            <w:pPr>
              <w:widowControl/>
              <w:spacing w:line="360" w:lineRule="auto"/>
              <w:jc w:val="center"/>
              <w:rPr>
                <w:rFonts w:ascii="宋体" w:hAnsi="宋体"/>
                <w:bCs/>
                <w:kern w:val="0"/>
                <w:sz w:val="20"/>
                <w:szCs w:val="21"/>
              </w:rPr>
            </w:pPr>
          </w:p>
        </w:tc>
        <w:tc>
          <w:tcPr>
            <w:tcW w:w="1696" w:type="pct"/>
            <w:vAlign w:val="center"/>
          </w:tcPr>
          <w:p w:rsidR="009E385C" w:rsidRDefault="009E385C">
            <w:pPr>
              <w:widowControl/>
              <w:spacing w:line="360" w:lineRule="auto"/>
              <w:jc w:val="center"/>
              <w:rPr>
                <w:rFonts w:ascii="宋体" w:hAnsi="宋体"/>
                <w:bCs/>
                <w:kern w:val="0"/>
                <w:sz w:val="20"/>
                <w:szCs w:val="21"/>
              </w:rPr>
            </w:pPr>
          </w:p>
        </w:tc>
      </w:tr>
      <w:tr w:rsidR="009E385C">
        <w:tc>
          <w:tcPr>
            <w:tcW w:w="424" w:type="pct"/>
            <w:vAlign w:val="center"/>
          </w:tcPr>
          <w:p w:rsidR="009E385C" w:rsidRDefault="00F345C3">
            <w:pPr>
              <w:widowControl/>
              <w:spacing w:line="360" w:lineRule="auto"/>
              <w:jc w:val="center"/>
              <w:rPr>
                <w:rFonts w:ascii="宋体" w:hAnsi="宋体"/>
                <w:bCs/>
                <w:kern w:val="0"/>
                <w:sz w:val="20"/>
                <w:szCs w:val="21"/>
              </w:rPr>
            </w:pPr>
            <w:r>
              <w:rPr>
                <w:rFonts w:ascii="宋体" w:hAnsi="宋体" w:hint="eastAsia"/>
                <w:bCs/>
                <w:kern w:val="0"/>
                <w:sz w:val="20"/>
                <w:szCs w:val="21"/>
              </w:rPr>
              <w:t>2</w:t>
            </w:r>
          </w:p>
        </w:tc>
        <w:tc>
          <w:tcPr>
            <w:tcW w:w="1525" w:type="pct"/>
            <w:vAlign w:val="center"/>
          </w:tcPr>
          <w:p w:rsidR="009E385C" w:rsidRDefault="009E385C">
            <w:pPr>
              <w:widowControl/>
              <w:spacing w:line="360" w:lineRule="auto"/>
              <w:jc w:val="center"/>
              <w:rPr>
                <w:rFonts w:ascii="宋体" w:hAnsi="宋体"/>
                <w:bCs/>
                <w:kern w:val="0"/>
                <w:sz w:val="20"/>
                <w:szCs w:val="21"/>
              </w:rPr>
            </w:pPr>
          </w:p>
        </w:tc>
        <w:tc>
          <w:tcPr>
            <w:tcW w:w="1355" w:type="pct"/>
            <w:vAlign w:val="center"/>
          </w:tcPr>
          <w:p w:rsidR="009E385C" w:rsidRDefault="009E385C">
            <w:pPr>
              <w:widowControl/>
              <w:spacing w:line="360" w:lineRule="auto"/>
              <w:jc w:val="center"/>
              <w:rPr>
                <w:rFonts w:ascii="宋体" w:hAnsi="宋体"/>
                <w:bCs/>
                <w:kern w:val="0"/>
                <w:sz w:val="20"/>
                <w:szCs w:val="21"/>
              </w:rPr>
            </w:pPr>
          </w:p>
        </w:tc>
        <w:tc>
          <w:tcPr>
            <w:tcW w:w="1696" w:type="pct"/>
            <w:vAlign w:val="center"/>
          </w:tcPr>
          <w:p w:rsidR="009E385C" w:rsidRDefault="009E385C">
            <w:pPr>
              <w:widowControl/>
              <w:spacing w:line="360" w:lineRule="auto"/>
              <w:jc w:val="center"/>
              <w:rPr>
                <w:rFonts w:ascii="宋体" w:hAnsi="宋体"/>
                <w:bCs/>
                <w:kern w:val="0"/>
                <w:sz w:val="20"/>
                <w:szCs w:val="21"/>
              </w:rPr>
            </w:pPr>
          </w:p>
        </w:tc>
      </w:tr>
      <w:tr w:rsidR="009E385C">
        <w:tc>
          <w:tcPr>
            <w:tcW w:w="424" w:type="pct"/>
            <w:vAlign w:val="center"/>
          </w:tcPr>
          <w:p w:rsidR="009E385C" w:rsidRDefault="00F345C3">
            <w:pPr>
              <w:widowControl/>
              <w:spacing w:line="360" w:lineRule="auto"/>
              <w:jc w:val="center"/>
              <w:rPr>
                <w:rFonts w:ascii="宋体" w:hAnsi="宋体"/>
                <w:bCs/>
                <w:kern w:val="0"/>
                <w:sz w:val="20"/>
                <w:szCs w:val="21"/>
              </w:rPr>
            </w:pPr>
            <w:r>
              <w:rPr>
                <w:rFonts w:ascii="宋体" w:hAnsi="宋体" w:hint="eastAsia"/>
                <w:bCs/>
                <w:kern w:val="0"/>
                <w:sz w:val="20"/>
                <w:szCs w:val="21"/>
              </w:rPr>
              <w:t>3</w:t>
            </w:r>
          </w:p>
        </w:tc>
        <w:tc>
          <w:tcPr>
            <w:tcW w:w="1525" w:type="pct"/>
            <w:vAlign w:val="center"/>
          </w:tcPr>
          <w:p w:rsidR="009E385C" w:rsidRDefault="009E385C">
            <w:pPr>
              <w:widowControl/>
              <w:spacing w:line="360" w:lineRule="auto"/>
              <w:jc w:val="center"/>
              <w:rPr>
                <w:rFonts w:ascii="宋体" w:hAnsi="宋体"/>
                <w:bCs/>
                <w:kern w:val="0"/>
                <w:sz w:val="20"/>
                <w:szCs w:val="21"/>
              </w:rPr>
            </w:pPr>
          </w:p>
        </w:tc>
        <w:tc>
          <w:tcPr>
            <w:tcW w:w="1355" w:type="pct"/>
            <w:vAlign w:val="center"/>
          </w:tcPr>
          <w:p w:rsidR="009E385C" w:rsidRDefault="009E385C">
            <w:pPr>
              <w:widowControl/>
              <w:spacing w:line="360" w:lineRule="auto"/>
              <w:jc w:val="center"/>
              <w:rPr>
                <w:rFonts w:ascii="宋体" w:hAnsi="宋体"/>
                <w:bCs/>
                <w:kern w:val="0"/>
                <w:sz w:val="20"/>
                <w:szCs w:val="21"/>
              </w:rPr>
            </w:pPr>
          </w:p>
        </w:tc>
        <w:tc>
          <w:tcPr>
            <w:tcW w:w="1696" w:type="pct"/>
            <w:vAlign w:val="center"/>
          </w:tcPr>
          <w:p w:rsidR="009E385C" w:rsidRDefault="009E385C">
            <w:pPr>
              <w:widowControl/>
              <w:spacing w:line="360" w:lineRule="auto"/>
              <w:jc w:val="center"/>
              <w:rPr>
                <w:rFonts w:ascii="宋体" w:hAnsi="宋体"/>
                <w:bCs/>
                <w:kern w:val="0"/>
                <w:sz w:val="20"/>
                <w:szCs w:val="21"/>
              </w:rPr>
            </w:pPr>
          </w:p>
        </w:tc>
      </w:tr>
      <w:tr w:rsidR="009E385C">
        <w:tc>
          <w:tcPr>
            <w:tcW w:w="424" w:type="pct"/>
            <w:vAlign w:val="center"/>
          </w:tcPr>
          <w:p w:rsidR="009E385C" w:rsidRDefault="00F345C3">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9E385C" w:rsidRDefault="009E385C">
            <w:pPr>
              <w:widowControl/>
              <w:spacing w:line="360" w:lineRule="auto"/>
              <w:jc w:val="center"/>
              <w:rPr>
                <w:rFonts w:ascii="宋体" w:hAnsi="宋体"/>
                <w:bCs/>
                <w:kern w:val="0"/>
                <w:sz w:val="20"/>
                <w:szCs w:val="21"/>
              </w:rPr>
            </w:pPr>
          </w:p>
        </w:tc>
        <w:tc>
          <w:tcPr>
            <w:tcW w:w="1355" w:type="pct"/>
            <w:vAlign w:val="center"/>
          </w:tcPr>
          <w:p w:rsidR="009E385C" w:rsidRDefault="009E385C">
            <w:pPr>
              <w:widowControl/>
              <w:spacing w:line="360" w:lineRule="auto"/>
              <w:jc w:val="center"/>
              <w:rPr>
                <w:rFonts w:ascii="宋体" w:hAnsi="宋体"/>
                <w:bCs/>
                <w:kern w:val="0"/>
                <w:sz w:val="20"/>
                <w:szCs w:val="21"/>
              </w:rPr>
            </w:pPr>
          </w:p>
        </w:tc>
        <w:tc>
          <w:tcPr>
            <w:tcW w:w="1696" w:type="pct"/>
            <w:vAlign w:val="center"/>
          </w:tcPr>
          <w:p w:rsidR="009E385C" w:rsidRDefault="009E385C">
            <w:pPr>
              <w:widowControl/>
              <w:spacing w:line="360" w:lineRule="auto"/>
              <w:jc w:val="center"/>
              <w:rPr>
                <w:rFonts w:ascii="宋体" w:hAnsi="宋体"/>
                <w:bCs/>
                <w:kern w:val="0"/>
                <w:sz w:val="20"/>
                <w:szCs w:val="21"/>
              </w:rPr>
            </w:pPr>
          </w:p>
        </w:tc>
      </w:tr>
      <w:tr w:rsidR="009E385C">
        <w:tc>
          <w:tcPr>
            <w:tcW w:w="424" w:type="pct"/>
            <w:vAlign w:val="center"/>
          </w:tcPr>
          <w:p w:rsidR="009E385C" w:rsidRDefault="00F345C3">
            <w:pPr>
              <w:widowControl/>
              <w:spacing w:line="360" w:lineRule="auto"/>
              <w:jc w:val="center"/>
              <w:rPr>
                <w:rFonts w:ascii="宋体" w:hAnsi="宋体"/>
                <w:bCs/>
                <w:kern w:val="0"/>
                <w:sz w:val="20"/>
                <w:szCs w:val="21"/>
              </w:rPr>
            </w:pPr>
            <w:r>
              <w:rPr>
                <w:rFonts w:ascii="宋体" w:hAnsi="宋体" w:hint="eastAsia"/>
                <w:bCs/>
                <w:kern w:val="0"/>
                <w:sz w:val="20"/>
                <w:szCs w:val="21"/>
              </w:rPr>
              <w:t>……</w:t>
            </w:r>
          </w:p>
        </w:tc>
        <w:tc>
          <w:tcPr>
            <w:tcW w:w="1525" w:type="pct"/>
            <w:vAlign w:val="center"/>
          </w:tcPr>
          <w:p w:rsidR="009E385C" w:rsidRDefault="009E385C">
            <w:pPr>
              <w:widowControl/>
              <w:spacing w:line="360" w:lineRule="auto"/>
              <w:jc w:val="center"/>
              <w:rPr>
                <w:rFonts w:ascii="宋体" w:hAnsi="宋体"/>
                <w:bCs/>
                <w:kern w:val="0"/>
                <w:sz w:val="20"/>
                <w:szCs w:val="21"/>
              </w:rPr>
            </w:pPr>
          </w:p>
        </w:tc>
        <w:tc>
          <w:tcPr>
            <w:tcW w:w="1355" w:type="pct"/>
            <w:vAlign w:val="center"/>
          </w:tcPr>
          <w:p w:rsidR="009E385C" w:rsidRDefault="009E385C">
            <w:pPr>
              <w:widowControl/>
              <w:spacing w:line="360" w:lineRule="auto"/>
              <w:jc w:val="center"/>
              <w:rPr>
                <w:rFonts w:ascii="宋体" w:hAnsi="宋体"/>
                <w:bCs/>
                <w:kern w:val="0"/>
                <w:sz w:val="20"/>
                <w:szCs w:val="21"/>
              </w:rPr>
            </w:pPr>
          </w:p>
        </w:tc>
        <w:tc>
          <w:tcPr>
            <w:tcW w:w="1696" w:type="pct"/>
            <w:vAlign w:val="center"/>
          </w:tcPr>
          <w:p w:rsidR="009E385C" w:rsidRDefault="009E385C">
            <w:pPr>
              <w:widowControl/>
              <w:spacing w:line="360" w:lineRule="auto"/>
              <w:jc w:val="center"/>
              <w:rPr>
                <w:rFonts w:ascii="宋体" w:hAnsi="宋体"/>
                <w:bCs/>
                <w:kern w:val="0"/>
                <w:sz w:val="20"/>
                <w:szCs w:val="21"/>
              </w:rPr>
            </w:pPr>
          </w:p>
        </w:tc>
      </w:tr>
    </w:tbl>
    <w:p w:rsidR="009E385C" w:rsidRDefault="00F345C3">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9E385C" w:rsidRDefault="00F345C3">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）响应人</w:t>
      </w:r>
      <w:bookmarkStart w:id="2" w:name="OLE_LINK9"/>
      <w:bookmarkStart w:id="3" w:name="OLE_LINK5"/>
      <w:r>
        <w:rPr>
          <w:rFonts w:ascii="宋体" w:hAnsi="宋体" w:hint="eastAsia"/>
          <w:bCs/>
          <w:szCs w:val="21"/>
        </w:rPr>
        <w:t>采购</w:t>
      </w:r>
      <w:bookmarkEnd w:id="2"/>
      <w:r>
        <w:rPr>
          <w:rFonts w:ascii="宋体" w:hAnsi="宋体" w:hint="eastAsia"/>
          <w:bCs/>
          <w:szCs w:val="21"/>
        </w:rPr>
        <w:t>文件</w:t>
      </w:r>
      <w:bookmarkEnd w:id="3"/>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9E385C" w:rsidRDefault="00F345C3">
      <w:pPr>
        <w:widowControl/>
        <w:spacing w:line="360" w:lineRule="auto"/>
        <w:jc w:val="left"/>
        <w:rPr>
          <w:rFonts w:ascii="宋体" w:hAnsi="宋体"/>
          <w:szCs w:val="21"/>
        </w:rPr>
      </w:pPr>
      <w:r>
        <w:rPr>
          <w:rFonts w:ascii="宋体" w:hAnsi="宋体"/>
          <w:szCs w:val="21"/>
        </w:rPr>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9E385C" w:rsidRDefault="00F345C3">
      <w:pPr>
        <w:widowControl/>
        <w:spacing w:line="360" w:lineRule="auto"/>
        <w:jc w:val="left"/>
        <w:rPr>
          <w:rFonts w:ascii="宋体" w:hAnsi="宋体"/>
          <w:bCs/>
          <w:szCs w:val="21"/>
        </w:rPr>
      </w:pPr>
      <w:r>
        <w:rPr>
          <w:rFonts w:ascii="宋体" w:hAnsi="宋体" w:hint="eastAsia"/>
          <w:bCs/>
          <w:szCs w:val="21"/>
        </w:rPr>
        <w:t>7）报价单</w:t>
      </w:r>
    </w:p>
    <w:p w:rsidR="009E385C" w:rsidRDefault="00F345C3">
      <w:pPr>
        <w:widowControl/>
        <w:spacing w:line="360" w:lineRule="auto"/>
        <w:jc w:val="left"/>
        <w:rPr>
          <w:rFonts w:ascii="宋体" w:hAnsi="宋体"/>
          <w:szCs w:val="21"/>
        </w:rPr>
      </w:pPr>
      <w:r>
        <w:rPr>
          <w:rFonts w:ascii="宋体" w:hAnsi="宋体" w:hint="eastAsia"/>
          <w:szCs w:val="21"/>
        </w:rPr>
        <w:t>8）</w:t>
      </w:r>
      <w:bookmarkStart w:id="4" w:name="OLE_LINK6"/>
      <w:r>
        <w:rPr>
          <w:rFonts w:ascii="宋体" w:hAnsi="宋体" w:hint="eastAsia"/>
          <w:bCs/>
          <w:kern w:val="0"/>
          <w:szCs w:val="21"/>
        </w:rPr>
        <w:t>采购文件</w:t>
      </w:r>
      <w:bookmarkEnd w:id="4"/>
      <w:r>
        <w:rPr>
          <w:rFonts w:ascii="宋体" w:hAnsi="宋体"/>
          <w:szCs w:val="21"/>
        </w:rPr>
        <w:t>要求</w:t>
      </w:r>
    </w:p>
    <w:p w:rsidR="009E385C" w:rsidRDefault="00F345C3">
      <w:pPr>
        <w:widowControl/>
        <w:spacing w:line="360" w:lineRule="auto"/>
        <w:jc w:val="left"/>
        <w:rPr>
          <w:rFonts w:ascii="宋体" w:hAnsi="宋体"/>
          <w:szCs w:val="21"/>
        </w:rPr>
      </w:pPr>
      <w:r>
        <w:rPr>
          <w:rFonts w:ascii="宋体" w:hAnsi="宋体" w:hint="eastAsia"/>
          <w:szCs w:val="21"/>
        </w:rPr>
        <w:lastRenderedPageBreak/>
        <w:t>①</w:t>
      </w:r>
      <w:bookmarkStart w:id="5" w:name="OLE_LINK7"/>
      <w:r>
        <w:rPr>
          <w:rFonts w:ascii="宋体" w:hAnsi="宋体" w:hint="eastAsia"/>
          <w:bCs/>
          <w:kern w:val="0"/>
          <w:szCs w:val="21"/>
        </w:rPr>
        <w:t>采购文件</w:t>
      </w:r>
      <w:bookmarkEnd w:id="5"/>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9E385C" w:rsidRDefault="00F345C3">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9E385C" w:rsidRDefault="00F345C3">
      <w:pPr>
        <w:widowControl/>
        <w:spacing w:line="360" w:lineRule="auto"/>
        <w:jc w:val="left"/>
        <w:rPr>
          <w:rFonts w:ascii="宋体" w:hAnsi="宋体"/>
          <w:szCs w:val="21"/>
        </w:rPr>
      </w:pPr>
      <w:r>
        <w:rPr>
          <w:rFonts w:ascii="宋体" w:hAnsi="宋体" w:hint="eastAsia"/>
          <w:szCs w:val="21"/>
        </w:rPr>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9E385C" w:rsidRDefault="00F345C3">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9E385C" w:rsidRDefault="00F345C3">
      <w:pPr>
        <w:widowControl/>
        <w:spacing w:line="360" w:lineRule="auto"/>
        <w:jc w:val="left"/>
        <w:rPr>
          <w:rFonts w:ascii="宋体" w:hAnsi="宋体"/>
          <w:bCs/>
          <w:szCs w:val="21"/>
        </w:rPr>
      </w:pPr>
      <w:r>
        <w:rPr>
          <w:rFonts w:ascii="宋体" w:hAnsi="宋体" w:hint="eastAsia"/>
          <w:bCs/>
          <w:szCs w:val="21"/>
        </w:rPr>
        <w:t>1）响应价格高于预算价。</w:t>
      </w:r>
    </w:p>
    <w:p w:rsidR="009E385C" w:rsidRDefault="00F345C3">
      <w:pPr>
        <w:widowControl/>
        <w:spacing w:line="360" w:lineRule="auto"/>
        <w:jc w:val="left"/>
        <w:rPr>
          <w:rFonts w:ascii="宋体" w:hAnsi="宋体"/>
          <w:bCs/>
          <w:szCs w:val="21"/>
        </w:rPr>
      </w:pPr>
      <w:r>
        <w:rPr>
          <w:rFonts w:ascii="宋体" w:hAnsi="宋体" w:hint="eastAsia"/>
          <w:bCs/>
          <w:szCs w:val="21"/>
        </w:rPr>
        <w:t>2）</w:t>
      </w:r>
      <w:bookmarkStart w:id="6" w:name="OLE_LINK11"/>
      <w:bookmarkStart w:id="7" w:name="OLE_LINK10"/>
      <w:r>
        <w:rPr>
          <w:rFonts w:ascii="宋体" w:hAnsi="宋体" w:hint="eastAsia"/>
          <w:bCs/>
          <w:szCs w:val="21"/>
        </w:rPr>
        <w:t>采购文件</w:t>
      </w:r>
      <w:bookmarkEnd w:id="6"/>
      <w:bookmarkEnd w:id="7"/>
      <w:r>
        <w:rPr>
          <w:rFonts w:ascii="宋体" w:hAnsi="宋体" w:hint="eastAsia"/>
          <w:bCs/>
          <w:szCs w:val="21"/>
        </w:rPr>
        <w:t>未密封或逾期送达</w:t>
      </w:r>
      <w:bookmarkStart w:id="8" w:name="OLE_LINK15"/>
      <w:r>
        <w:rPr>
          <w:rFonts w:ascii="宋体" w:hAnsi="宋体" w:hint="eastAsia"/>
          <w:bCs/>
          <w:szCs w:val="21"/>
        </w:rPr>
        <w:t>。</w:t>
      </w:r>
      <w:bookmarkEnd w:id="8"/>
    </w:p>
    <w:p w:rsidR="009E385C" w:rsidRDefault="00F345C3">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9E385C" w:rsidRDefault="00F345C3">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9E385C" w:rsidRDefault="00F345C3">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9E385C" w:rsidRDefault="00F345C3">
      <w:pPr>
        <w:widowControl/>
        <w:spacing w:line="360" w:lineRule="auto"/>
        <w:jc w:val="left"/>
        <w:rPr>
          <w:rFonts w:ascii="宋体" w:hAnsi="宋体"/>
          <w:bCs/>
          <w:szCs w:val="21"/>
        </w:rPr>
      </w:pPr>
      <w:r>
        <w:rPr>
          <w:rFonts w:ascii="宋体" w:hAnsi="宋体" w:hint="eastAsia"/>
          <w:bCs/>
          <w:szCs w:val="21"/>
        </w:rPr>
        <w:t>6）未按采购文件要求制作</w:t>
      </w:r>
      <w:bookmarkStart w:id="9" w:name="OLE_LINK17"/>
      <w:bookmarkStart w:id="10" w:name="OLE_LINK16"/>
      <w:r>
        <w:rPr>
          <w:rFonts w:ascii="宋体" w:hAnsi="宋体" w:hint="eastAsia"/>
          <w:bCs/>
          <w:szCs w:val="21"/>
        </w:rPr>
        <w:t>响应文件</w:t>
      </w:r>
      <w:bookmarkEnd w:id="9"/>
      <w:bookmarkEnd w:id="10"/>
      <w:r>
        <w:rPr>
          <w:rFonts w:ascii="宋体" w:hAnsi="宋体" w:hint="eastAsia"/>
          <w:bCs/>
          <w:szCs w:val="21"/>
        </w:rPr>
        <w:t>。</w:t>
      </w:r>
    </w:p>
    <w:p w:rsidR="009E385C" w:rsidRDefault="00F345C3">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9E385C" w:rsidRDefault="00F345C3">
      <w:pPr>
        <w:pStyle w:val="ad"/>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11" w:name="OLE_LINK18"/>
      <w:r>
        <w:rPr>
          <w:rFonts w:ascii="宋体" w:hAnsi="宋体" w:hint="eastAsia"/>
          <w:b/>
          <w:szCs w:val="21"/>
        </w:rPr>
        <w:t>响应</w:t>
      </w:r>
      <w:bookmarkEnd w:id="11"/>
      <w:r>
        <w:rPr>
          <w:rFonts w:ascii="宋体" w:hAnsi="宋体" w:hint="eastAsia"/>
          <w:b/>
          <w:szCs w:val="21"/>
        </w:rPr>
        <w:t>文件时间、递交截止时间、开标时间及地点：</w:t>
      </w:r>
    </w:p>
    <w:p w:rsidR="009E385C" w:rsidRDefault="00F345C3">
      <w:pPr>
        <w:widowControl/>
        <w:spacing w:line="360" w:lineRule="auto"/>
        <w:jc w:val="left"/>
        <w:rPr>
          <w:rFonts w:ascii="宋体" w:hAnsi="宋体"/>
          <w:szCs w:val="21"/>
        </w:rPr>
      </w:pPr>
      <w:r>
        <w:rPr>
          <w:rFonts w:ascii="宋体" w:hAnsi="宋体" w:hint="eastAsia"/>
          <w:szCs w:val="21"/>
        </w:rPr>
        <w:t>1. 递交响应文件时间地点：2025年</w:t>
      </w:r>
      <w:r w:rsidR="00443F7E">
        <w:rPr>
          <w:rFonts w:ascii="宋体" w:hAnsi="宋体" w:hint="eastAsia"/>
          <w:szCs w:val="21"/>
        </w:rPr>
        <w:t>12</w:t>
      </w:r>
      <w:r>
        <w:rPr>
          <w:rFonts w:ascii="宋体" w:hAnsi="宋体" w:hint="eastAsia"/>
          <w:szCs w:val="21"/>
        </w:rPr>
        <w:t>月</w:t>
      </w:r>
      <w:r w:rsidR="00443F7E">
        <w:rPr>
          <w:rFonts w:ascii="宋体" w:hAnsi="宋体" w:hint="eastAsia"/>
          <w:szCs w:val="21"/>
        </w:rPr>
        <w:t>23</w:t>
      </w:r>
      <w:r>
        <w:rPr>
          <w:rFonts w:ascii="宋体" w:hAnsi="宋体" w:hint="eastAsia"/>
          <w:szCs w:val="21"/>
        </w:rPr>
        <w:t>日8:30（北京时间），</w:t>
      </w:r>
      <w:r w:rsidRPr="00443F7E">
        <w:rPr>
          <w:rFonts w:ascii="宋体" w:hAnsi="宋体" w:hint="eastAsia"/>
          <w:szCs w:val="21"/>
          <w:highlight w:val="yellow"/>
        </w:rPr>
        <w:t>中仪大厦10层</w:t>
      </w:r>
      <w:r w:rsidR="00F85B30">
        <w:rPr>
          <w:rFonts w:ascii="宋体" w:hAnsi="宋体" w:hint="eastAsia"/>
          <w:szCs w:val="21"/>
          <w:highlight w:val="yellow"/>
        </w:rPr>
        <w:t>1002</w:t>
      </w:r>
      <w:r w:rsidRPr="00443F7E">
        <w:rPr>
          <w:rFonts w:ascii="宋体" w:hAnsi="宋体" w:hint="eastAsia"/>
          <w:szCs w:val="21"/>
          <w:highlight w:val="yellow"/>
        </w:rPr>
        <w:t>会议</w:t>
      </w:r>
      <w:r>
        <w:rPr>
          <w:rFonts w:ascii="宋体" w:hAnsi="宋体" w:hint="eastAsia"/>
          <w:szCs w:val="21"/>
        </w:rPr>
        <w:t>室，递交文件截止时间：2025年</w:t>
      </w:r>
      <w:r w:rsidR="00443F7E">
        <w:rPr>
          <w:rFonts w:ascii="宋体" w:hAnsi="宋体" w:hint="eastAsia"/>
          <w:szCs w:val="21"/>
        </w:rPr>
        <w:t>12</w:t>
      </w:r>
      <w:r>
        <w:rPr>
          <w:rFonts w:ascii="宋体" w:hAnsi="宋体" w:hint="eastAsia"/>
          <w:szCs w:val="21"/>
        </w:rPr>
        <w:t>月</w:t>
      </w:r>
      <w:r w:rsidR="00443F7E">
        <w:rPr>
          <w:rFonts w:ascii="宋体" w:hAnsi="宋体" w:hint="eastAsia"/>
          <w:szCs w:val="21"/>
        </w:rPr>
        <w:t>23</w:t>
      </w:r>
      <w:r>
        <w:rPr>
          <w:rFonts w:ascii="宋体" w:hAnsi="宋体" w:hint="eastAsia"/>
          <w:szCs w:val="21"/>
        </w:rPr>
        <w:t>日 9:00逾期送达或未密封的响应文件恕不接受。</w:t>
      </w:r>
    </w:p>
    <w:p w:rsidR="009E385C" w:rsidRDefault="00F345C3">
      <w:pPr>
        <w:widowControl/>
        <w:spacing w:line="360" w:lineRule="auto"/>
        <w:jc w:val="left"/>
        <w:rPr>
          <w:rFonts w:ascii="宋体" w:hAnsi="宋体"/>
          <w:szCs w:val="21"/>
        </w:rPr>
      </w:pPr>
      <w:r>
        <w:rPr>
          <w:rFonts w:ascii="宋体" w:hAnsi="宋体" w:hint="eastAsia"/>
          <w:szCs w:val="21"/>
        </w:rPr>
        <w:t>2.联系人：鞠老师 88317043</w:t>
      </w:r>
    </w:p>
    <w:p w:rsidR="009E385C" w:rsidRDefault="00F345C3">
      <w:pPr>
        <w:widowControl/>
        <w:spacing w:line="360" w:lineRule="auto"/>
        <w:jc w:val="left"/>
        <w:rPr>
          <w:rFonts w:ascii="宋体" w:hAnsi="宋体"/>
          <w:szCs w:val="21"/>
        </w:rPr>
      </w:pPr>
      <w:r>
        <w:rPr>
          <w:rFonts w:ascii="宋体" w:hAnsi="宋体" w:hint="eastAsia"/>
          <w:szCs w:val="21"/>
        </w:rPr>
        <w:t>3.凡对本次采购提出询问及质疑，请与鞠老师联系。</w:t>
      </w:r>
    </w:p>
    <w:p w:rsidR="009E385C" w:rsidRDefault="00F345C3">
      <w:pPr>
        <w:widowControl/>
        <w:spacing w:line="360" w:lineRule="auto"/>
        <w:jc w:val="left"/>
        <w:rPr>
          <w:rFonts w:ascii="宋体" w:hAnsi="宋体"/>
          <w:szCs w:val="21"/>
        </w:rPr>
      </w:pPr>
      <w:r>
        <w:rPr>
          <w:rFonts w:ascii="宋体" w:hAnsi="宋体" w:hint="eastAsia"/>
          <w:szCs w:val="21"/>
        </w:rPr>
        <w:t>（1）</w:t>
      </w:r>
      <w:r>
        <w:rPr>
          <w:rFonts w:ascii="宋体" w:hAnsi="宋体" w:hint="eastAsia"/>
          <w:szCs w:val="21"/>
        </w:rPr>
        <w:tab/>
        <w:t>对院内采购文件的质疑</w:t>
      </w:r>
    </w:p>
    <w:p w:rsidR="009E385C" w:rsidRDefault="00F345C3">
      <w:pPr>
        <w:widowControl/>
        <w:spacing w:line="360" w:lineRule="auto"/>
        <w:jc w:val="left"/>
        <w:rPr>
          <w:rFonts w:ascii="宋体" w:hAnsi="宋体"/>
          <w:szCs w:val="21"/>
        </w:rPr>
      </w:pPr>
      <w:r>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9E385C" w:rsidRDefault="00F345C3">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p>
    <w:p w:rsidR="009E385C" w:rsidRDefault="00F345C3">
      <w:pPr>
        <w:widowControl/>
        <w:spacing w:line="360" w:lineRule="auto"/>
        <w:jc w:val="left"/>
        <w:rPr>
          <w:rFonts w:ascii="宋体" w:hAnsi="宋体"/>
          <w:szCs w:val="21"/>
        </w:rPr>
      </w:pPr>
      <w:r>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9E385C" w:rsidRDefault="00F345C3">
      <w:pPr>
        <w:pStyle w:val="ad"/>
        <w:numPr>
          <w:ilvl w:val="0"/>
          <w:numId w:val="2"/>
        </w:numPr>
        <w:spacing w:line="360" w:lineRule="auto"/>
        <w:ind w:firstLineChars="0"/>
        <w:jc w:val="left"/>
        <w:rPr>
          <w:rFonts w:ascii="宋体" w:hAnsi="宋体"/>
          <w:b/>
          <w:szCs w:val="21"/>
        </w:rPr>
      </w:pPr>
      <w:r>
        <w:rPr>
          <w:rFonts w:ascii="宋体" w:hAnsi="宋体" w:hint="eastAsia"/>
          <w:b/>
          <w:szCs w:val="21"/>
        </w:rPr>
        <w:t>评分细则</w:t>
      </w:r>
    </w:p>
    <w:tbl>
      <w:tblPr>
        <w:tblStyle w:val="TableGrid"/>
        <w:tblW w:w="8869"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4287"/>
        <w:gridCol w:w="914"/>
      </w:tblGrid>
      <w:tr w:rsidR="009E385C">
        <w:trPr>
          <w:trHeight w:val="353"/>
        </w:trPr>
        <w:tc>
          <w:tcPr>
            <w:tcW w:w="710" w:type="dxa"/>
          </w:tcPr>
          <w:p w:rsidR="009E385C" w:rsidRDefault="00F345C3">
            <w:pPr>
              <w:spacing w:line="360" w:lineRule="auto"/>
              <w:ind w:left="52"/>
              <w:rPr>
                <w:kern w:val="0"/>
              </w:rPr>
            </w:pPr>
            <w:r>
              <w:rPr>
                <w:kern w:val="0"/>
              </w:rPr>
              <w:t>序号</w:t>
            </w:r>
          </w:p>
        </w:tc>
        <w:tc>
          <w:tcPr>
            <w:tcW w:w="709" w:type="dxa"/>
          </w:tcPr>
          <w:p w:rsidR="009E385C" w:rsidRDefault="00F345C3">
            <w:pPr>
              <w:spacing w:line="360" w:lineRule="auto"/>
              <w:ind w:left="38"/>
              <w:rPr>
                <w:kern w:val="0"/>
              </w:rPr>
            </w:pPr>
            <w:r>
              <w:rPr>
                <w:kern w:val="0"/>
              </w:rPr>
              <w:t>分值</w:t>
            </w:r>
          </w:p>
        </w:tc>
        <w:tc>
          <w:tcPr>
            <w:tcW w:w="2249" w:type="dxa"/>
          </w:tcPr>
          <w:p w:rsidR="009E385C" w:rsidRDefault="00F345C3">
            <w:pPr>
              <w:spacing w:line="360" w:lineRule="auto"/>
              <w:ind w:right="106"/>
              <w:jc w:val="center"/>
              <w:rPr>
                <w:kern w:val="0"/>
              </w:rPr>
            </w:pPr>
            <w:r>
              <w:rPr>
                <w:kern w:val="0"/>
              </w:rPr>
              <w:t>评分因素分项</w:t>
            </w:r>
          </w:p>
        </w:tc>
        <w:tc>
          <w:tcPr>
            <w:tcW w:w="4287" w:type="dxa"/>
          </w:tcPr>
          <w:p w:rsidR="009E385C" w:rsidRDefault="00F345C3">
            <w:pPr>
              <w:spacing w:line="360" w:lineRule="auto"/>
              <w:ind w:right="106"/>
              <w:jc w:val="center"/>
              <w:rPr>
                <w:kern w:val="0"/>
              </w:rPr>
            </w:pPr>
            <w:r>
              <w:rPr>
                <w:kern w:val="0"/>
              </w:rPr>
              <w:t>评分标准</w:t>
            </w:r>
          </w:p>
        </w:tc>
        <w:tc>
          <w:tcPr>
            <w:tcW w:w="914" w:type="dxa"/>
          </w:tcPr>
          <w:p w:rsidR="009E385C" w:rsidRDefault="009E385C">
            <w:pPr>
              <w:spacing w:line="360" w:lineRule="auto"/>
              <w:ind w:right="106"/>
              <w:jc w:val="center"/>
              <w:rPr>
                <w:kern w:val="0"/>
              </w:rPr>
            </w:pPr>
          </w:p>
        </w:tc>
      </w:tr>
      <w:tr w:rsidR="009E385C">
        <w:trPr>
          <w:trHeight w:val="1090"/>
        </w:trPr>
        <w:tc>
          <w:tcPr>
            <w:tcW w:w="710" w:type="dxa"/>
            <w:vAlign w:val="center"/>
          </w:tcPr>
          <w:p w:rsidR="009E385C" w:rsidRDefault="00F345C3">
            <w:pPr>
              <w:spacing w:line="360" w:lineRule="auto"/>
              <w:ind w:left="52"/>
              <w:rPr>
                <w:kern w:val="0"/>
              </w:rPr>
            </w:pPr>
            <w:r>
              <w:rPr>
                <w:kern w:val="0"/>
              </w:rPr>
              <w:lastRenderedPageBreak/>
              <w:t>价格</w:t>
            </w:r>
          </w:p>
        </w:tc>
        <w:tc>
          <w:tcPr>
            <w:tcW w:w="709" w:type="dxa"/>
            <w:vAlign w:val="center"/>
          </w:tcPr>
          <w:p w:rsidR="009E385C" w:rsidRDefault="00F345C3">
            <w:pPr>
              <w:spacing w:line="360" w:lineRule="auto"/>
              <w:rPr>
                <w:kern w:val="0"/>
              </w:rPr>
            </w:pPr>
            <w:r>
              <w:rPr>
                <w:rFonts w:ascii="宋体" w:hAnsi="宋体" w:cs="Calibri" w:hint="eastAsia"/>
                <w:kern w:val="0"/>
              </w:rPr>
              <w:t>3</w:t>
            </w:r>
            <w:r>
              <w:rPr>
                <w:rFonts w:ascii="Calibri" w:eastAsia="Calibri" w:hAnsi="Calibri" w:cs="Calibri"/>
                <w:kern w:val="0"/>
              </w:rPr>
              <w:t>0</w:t>
            </w:r>
          </w:p>
        </w:tc>
        <w:tc>
          <w:tcPr>
            <w:tcW w:w="2249" w:type="dxa"/>
            <w:vAlign w:val="center"/>
          </w:tcPr>
          <w:p w:rsidR="009E385C" w:rsidRDefault="00F345C3">
            <w:pPr>
              <w:spacing w:line="360" w:lineRule="auto"/>
              <w:rPr>
                <w:kern w:val="0"/>
              </w:rPr>
            </w:pPr>
            <w:r>
              <w:rPr>
                <w:kern w:val="0"/>
              </w:rPr>
              <w:t>评标价格</w:t>
            </w:r>
          </w:p>
        </w:tc>
        <w:tc>
          <w:tcPr>
            <w:tcW w:w="4287" w:type="dxa"/>
          </w:tcPr>
          <w:p w:rsidR="009E385C" w:rsidRDefault="00F345C3">
            <w:pPr>
              <w:spacing w:line="360" w:lineRule="auto"/>
              <w:rPr>
                <w:kern w:val="0"/>
                <w:lang w:eastAsia="zh-CN"/>
              </w:rPr>
            </w:pPr>
            <w:r>
              <w:rPr>
                <w:kern w:val="0"/>
                <w:lang w:eastAsia="zh-CN"/>
              </w:rPr>
              <w:t>评标价格分数</w:t>
            </w:r>
            <w:r>
              <w:rPr>
                <w:rFonts w:ascii="Calibri" w:eastAsia="Calibri" w:hAnsi="Calibri" w:cs="Calibri"/>
                <w:kern w:val="0"/>
                <w:lang w:eastAsia="zh-CN"/>
              </w:rPr>
              <w:t>=</w:t>
            </w:r>
            <w:r>
              <w:rPr>
                <w:kern w:val="0"/>
                <w:lang w:eastAsia="zh-CN"/>
              </w:rPr>
              <w:t>（评标基准价</w:t>
            </w:r>
            <w:r>
              <w:rPr>
                <w:rFonts w:ascii="Calibri" w:eastAsia="Calibri" w:hAnsi="Calibri" w:cs="Calibri"/>
                <w:kern w:val="0"/>
                <w:lang w:eastAsia="zh-CN"/>
              </w:rPr>
              <w:t>/</w:t>
            </w:r>
            <w:r>
              <w:rPr>
                <w:kern w:val="0"/>
                <w:lang w:eastAsia="zh-CN"/>
              </w:rPr>
              <w:t>投标报价）</w:t>
            </w:r>
            <w:r>
              <w:rPr>
                <w:rFonts w:ascii="Calibri" w:eastAsia="Calibri" w:hAnsi="Calibri" w:cs="Calibri"/>
                <w:kern w:val="0"/>
                <w:lang w:eastAsia="zh-CN"/>
              </w:rPr>
              <w:t>×</w:t>
            </w:r>
            <w:r>
              <w:rPr>
                <w:kern w:val="0"/>
                <w:lang w:eastAsia="zh-CN"/>
              </w:rPr>
              <w:t>价格权重（</w:t>
            </w:r>
            <w:r>
              <w:rPr>
                <w:rFonts w:ascii="宋体" w:hAnsi="宋体" w:cs="Calibri" w:hint="eastAsia"/>
                <w:kern w:val="0"/>
                <w:lang w:eastAsia="zh-CN"/>
              </w:rPr>
              <w:t>30</w:t>
            </w:r>
            <w:r>
              <w:rPr>
                <w:rFonts w:ascii="Calibri" w:eastAsia="Calibri" w:hAnsi="Calibri" w:cs="Calibri"/>
                <w:kern w:val="0"/>
                <w:lang w:eastAsia="zh-CN"/>
              </w:rPr>
              <w:t>%</w:t>
            </w:r>
            <w:r>
              <w:rPr>
                <w:kern w:val="0"/>
                <w:lang w:eastAsia="zh-CN"/>
              </w:rPr>
              <w:t>）</w:t>
            </w:r>
            <w:r>
              <w:rPr>
                <w:rFonts w:ascii="Calibri" w:eastAsia="Calibri" w:hAnsi="Calibri" w:cs="Calibri"/>
                <w:kern w:val="0"/>
                <w:lang w:eastAsia="zh-CN"/>
              </w:rPr>
              <w:t>×100</w:t>
            </w:r>
          </w:p>
          <w:p w:rsidR="009E385C" w:rsidRDefault="00F345C3">
            <w:pPr>
              <w:spacing w:line="360" w:lineRule="auto"/>
              <w:rPr>
                <w:kern w:val="0"/>
                <w:lang w:eastAsia="zh-CN"/>
              </w:rPr>
            </w:pPr>
            <w:r>
              <w:rPr>
                <w:kern w:val="0"/>
                <w:lang w:eastAsia="zh-CN"/>
              </w:rPr>
              <w:t>备注：实质性响应招标文件要求且价格低的投标报价为评标基准价</w:t>
            </w:r>
          </w:p>
        </w:tc>
        <w:tc>
          <w:tcPr>
            <w:tcW w:w="914" w:type="dxa"/>
          </w:tcPr>
          <w:p w:rsidR="009E385C" w:rsidRDefault="009E385C">
            <w:pPr>
              <w:spacing w:line="360" w:lineRule="auto"/>
              <w:rPr>
                <w:kern w:val="0"/>
                <w:lang w:eastAsia="zh-CN"/>
              </w:rPr>
            </w:pPr>
          </w:p>
        </w:tc>
      </w:tr>
      <w:tr w:rsidR="009E385C">
        <w:trPr>
          <w:trHeight w:val="1104"/>
        </w:trPr>
        <w:tc>
          <w:tcPr>
            <w:tcW w:w="710" w:type="dxa"/>
            <w:vMerge w:val="restart"/>
            <w:vAlign w:val="center"/>
          </w:tcPr>
          <w:p w:rsidR="009E385C" w:rsidRDefault="00F345C3">
            <w:pPr>
              <w:spacing w:line="360" w:lineRule="auto"/>
              <w:jc w:val="center"/>
              <w:rPr>
                <w:kern w:val="0"/>
              </w:rPr>
            </w:pPr>
            <w:r>
              <w:rPr>
                <w:kern w:val="0"/>
              </w:rPr>
              <w:t>商务部分</w:t>
            </w:r>
          </w:p>
        </w:tc>
        <w:tc>
          <w:tcPr>
            <w:tcW w:w="709" w:type="dxa"/>
            <w:vMerge w:val="restart"/>
            <w:vAlign w:val="center"/>
          </w:tcPr>
          <w:p w:rsidR="009E385C" w:rsidRDefault="00F345C3">
            <w:pPr>
              <w:spacing w:line="360" w:lineRule="auto"/>
              <w:rPr>
                <w:kern w:val="0"/>
              </w:rPr>
            </w:pPr>
            <w:r>
              <w:rPr>
                <w:rFonts w:ascii="Calibri" w:hAnsi="Calibri" w:cs="Calibri" w:hint="eastAsia"/>
                <w:kern w:val="0"/>
              </w:rPr>
              <w:t>20</w:t>
            </w:r>
          </w:p>
        </w:tc>
        <w:tc>
          <w:tcPr>
            <w:tcW w:w="2249" w:type="dxa"/>
            <w:vAlign w:val="center"/>
          </w:tcPr>
          <w:p w:rsidR="009E385C" w:rsidRDefault="00F345C3">
            <w:pPr>
              <w:spacing w:line="360" w:lineRule="auto"/>
              <w:rPr>
                <w:kern w:val="0"/>
                <w:lang w:eastAsia="zh-CN"/>
              </w:rPr>
            </w:pPr>
            <w:r>
              <w:rPr>
                <w:kern w:val="0"/>
                <w:lang w:eastAsia="zh-CN"/>
              </w:rPr>
              <w:t>对</w:t>
            </w:r>
            <w:r w:rsidR="00576098">
              <w:rPr>
                <w:kern w:val="0"/>
                <w:lang w:eastAsia="zh-CN"/>
              </w:rPr>
              <w:t>响应人</w:t>
            </w:r>
            <w:r>
              <w:rPr>
                <w:kern w:val="0"/>
                <w:lang w:eastAsia="zh-CN"/>
              </w:rPr>
              <w:t>企业资质的评价</w:t>
            </w:r>
          </w:p>
          <w:p w:rsidR="009E385C" w:rsidRDefault="00F345C3">
            <w:pPr>
              <w:spacing w:line="360" w:lineRule="auto"/>
              <w:rPr>
                <w:kern w:val="0"/>
              </w:rPr>
            </w:pPr>
            <w:r>
              <w:rPr>
                <w:kern w:val="0"/>
              </w:rPr>
              <w:t>（</w:t>
            </w:r>
            <w:r>
              <w:rPr>
                <w:kern w:val="0"/>
              </w:rPr>
              <w:t>8</w:t>
            </w:r>
            <w:r>
              <w:rPr>
                <w:kern w:val="0"/>
              </w:rPr>
              <w:t>分）</w:t>
            </w:r>
          </w:p>
        </w:tc>
        <w:tc>
          <w:tcPr>
            <w:tcW w:w="4287" w:type="dxa"/>
          </w:tcPr>
          <w:p w:rsidR="009E385C" w:rsidRDefault="00576098">
            <w:pPr>
              <w:spacing w:line="360" w:lineRule="auto"/>
              <w:rPr>
                <w:kern w:val="0"/>
                <w:lang w:eastAsia="zh-CN"/>
              </w:rPr>
            </w:pPr>
            <w:r>
              <w:rPr>
                <w:rFonts w:hint="eastAsia"/>
                <w:kern w:val="0"/>
                <w:lang w:eastAsia="zh-CN"/>
              </w:rPr>
              <w:t>响应人</w:t>
            </w:r>
            <w:r w:rsidR="00F345C3">
              <w:rPr>
                <w:rFonts w:hint="eastAsia"/>
                <w:kern w:val="0"/>
                <w:lang w:eastAsia="zh-CN"/>
              </w:rPr>
              <w:t>每提供一个软件著作权证书得</w:t>
            </w:r>
            <w:r w:rsidR="00F345C3">
              <w:rPr>
                <w:rFonts w:hint="eastAsia"/>
                <w:kern w:val="0"/>
                <w:lang w:eastAsia="zh-CN"/>
              </w:rPr>
              <w:t>4</w:t>
            </w:r>
            <w:r w:rsidR="00F345C3">
              <w:rPr>
                <w:rFonts w:hint="eastAsia"/>
                <w:kern w:val="0"/>
                <w:lang w:eastAsia="zh-CN"/>
              </w:rPr>
              <w:t>分，最高得</w:t>
            </w:r>
            <w:r w:rsidR="00F345C3">
              <w:rPr>
                <w:rFonts w:hint="eastAsia"/>
                <w:kern w:val="0"/>
                <w:lang w:eastAsia="zh-CN"/>
              </w:rPr>
              <w:t>8</w:t>
            </w:r>
            <w:r w:rsidR="00F345C3">
              <w:rPr>
                <w:rFonts w:hint="eastAsia"/>
                <w:kern w:val="0"/>
                <w:lang w:eastAsia="zh-CN"/>
              </w:rPr>
              <w:t>分。</w:t>
            </w:r>
          </w:p>
          <w:p w:rsidR="009E385C" w:rsidRDefault="00F345C3" w:rsidP="001E7946">
            <w:pPr>
              <w:spacing w:line="360" w:lineRule="auto"/>
              <w:rPr>
                <w:kern w:val="0"/>
                <w:lang w:eastAsia="zh-CN"/>
              </w:rPr>
            </w:pPr>
            <w:r>
              <w:rPr>
                <w:rFonts w:hint="eastAsia"/>
                <w:kern w:val="0"/>
                <w:lang w:eastAsia="zh-CN"/>
              </w:rPr>
              <w:t>注：</w:t>
            </w:r>
            <w:r w:rsidR="00576098">
              <w:rPr>
                <w:rFonts w:hint="eastAsia"/>
                <w:kern w:val="0"/>
                <w:lang w:eastAsia="zh-CN"/>
              </w:rPr>
              <w:t>响应人</w:t>
            </w:r>
            <w:r w:rsidR="001E7946">
              <w:rPr>
                <w:rFonts w:hint="eastAsia"/>
                <w:kern w:val="0"/>
                <w:lang w:eastAsia="zh-CN"/>
              </w:rPr>
              <w:t>需提供相关证书复印件并加盖公章，</w:t>
            </w:r>
            <w:r>
              <w:rPr>
                <w:kern w:val="0"/>
                <w:lang w:eastAsia="zh-CN"/>
              </w:rPr>
              <w:t>否则不予认可。</w:t>
            </w:r>
          </w:p>
        </w:tc>
        <w:tc>
          <w:tcPr>
            <w:tcW w:w="914" w:type="dxa"/>
          </w:tcPr>
          <w:p w:rsidR="009E385C" w:rsidRDefault="009E385C">
            <w:pPr>
              <w:spacing w:line="360" w:lineRule="auto"/>
              <w:rPr>
                <w:kern w:val="0"/>
                <w:lang w:eastAsia="zh-CN"/>
              </w:rPr>
            </w:pPr>
          </w:p>
        </w:tc>
      </w:tr>
      <w:tr w:rsidR="009E385C">
        <w:trPr>
          <w:trHeight w:val="1104"/>
        </w:trPr>
        <w:tc>
          <w:tcPr>
            <w:tcW w:w="710" w:type="dxa"/>
            <w:vMerge/>
            <w:vAlign w:val="bottom"/>
          </w:tcPr>
          <w:p w:rsidR="009E385C" w:rsidRDefault="009E385C">
            <w:pPr>
              <w:spacing w:after="160" w:line="360" w:lineRule="auto"/>
              <w:rPr>
                <w:kern w:val="0"/>
                <w:lang w:eastAsia="zh-CN"/>
              </w:rPr>
            </w:pPr>
          </w:p>
        </w:tc>
        <w:tc>
          <w:tcPr>
            <w:tcW w:w="709" w:type="dxa"/>
            <w:vMerge/>
          </w:tcPr>
          <w:p w:rsidR="009E385C" w:rsidRDefault="009E385C">
            <w:pPr>
              <w:spacing w:after="160" w:line="360" w:lineRule="auto"/>
              <w:rPr>
                <w:kern w:val="0"/>
                <w:lang w:eastAsia="zh-CN"/>
              </w:rPr>
            </w:pPr>
          </w:p>
        </w:tc>
        <w:tc>
          <w:tcPr>
            <w:tcW w:w="2249" w:type="dxa"/>
            <w:vAlign w:val="center"/>
          </w:tcPr>
          <w:p w:rsidR="009E385C" w:rsidRDefault="00576098">
            <w:pPr>
              <w:spacing w:line="360" w:lineRule="auto"/>
              <w:rPr>
                <w:kern w:val="0"/>
                <w:lang w:eastAsia="zh-CN"/>
              </w:rPr>
            </w:pPr>
            <w:r>
              <w:rPr>
                <w:kern w:val="0"/>
                <w:lang w:eastAsia="zh-CN"/>
              </w:rPr>
              <w:t>响应人</w:t>
            </w:r>
            <w:r w:rsidR="00F345C3">
              <w:rPr>
                <w:kern w:val="0"/>
                <w:lang w:eastAsia="zh-CN"/>
              </w:rPr>
              <w:t>完成类似项目业绩情况（</w:t>
            </w:r>
            <w:r w:rsidR="00F345C3">
              <w:rPr>
                <w:rFonts w:hint="eastAsia"/>
                <w:kern w:val="0"/>
                <w:lang w:eastAsia="zh-CN"/>
              </w:rPr>
              <w:t>12</w:t>
            </w:r>
            <w:r w:rsidR="00F345C3">
              <w:rPr>
                <w:kern w:val="0"/>
                <w:lang w:eastAsia="zh-CN"/>
              </w:rPr>
              <w:t>分）</w:t>
            </w:r>
          </w:p>
        </w:tc>
        <w:tc>
          <w:tcPr>
            <w:tcW w:w="4287" w:type="dxa"/>
          </w:tcPr>
          <w:p w:rsidR="009E385C" w:rsidRDefault="00F345C3">
            <w:pPr>
              <w:spacing w:line="360" w:lineRule="auto"/>
              <w:ind w:right="101"/>
              <w:rPr>
                <w:kern w:val="0"/>
                <w:lang w:eastAsia="zh-CN"/>
              </w:rPr>
            </w:pPr>
            <w:r>
              <w:rPr>
                <w:kern w:val="0"/>
                <w:lang w:eastAsia="zh-CN"/>
              </w:rPr>
              <w:t>根据</w:t>
            </w:r>
            <w:r w:rsidR="00576098">
              <w:rPr>
                <w:kern w:val="0"/>
                <w:lang w:eastAsia="zh-CN"/>
              </w:rPr>
              <w:t>响应人</w:t>
            </w:r>
            <w:r>
              <w:rPr>
                <w:kern w:val="0"/>
                <w:lang w:eastAsia="zh-CN"/>
              </w:rPr>
              <w:t>近三年（</w:t>
            </w:r>
            <w:r>
              <w:rPr>
                <w:kern w:val="0"/>
                <w:lang w:eastAsia="zh-CN"/>
              </w:rPr>
              <w:t>202</w:t>
            </w:r>
            <w:r>
              <w:rPr>
                <w:rFonts w:hint="eastAsia"/>
                <w:kern w:val="0"/>
                <w:lang w:eastAsia="zh-CN"/>
              </w:rPr>
              <w:t>2</w:t>
            </w:r>
            <w:r>
              <w:rPr>
                <w:kern w:val="0"/>
                <w:lang w:eastAsia="zh-CN"/>
              </w:rPr>
              <w:t>年至今）中国境内类似项目业绩进行评价，（须提供合同首页、合同金额页、盖章页复印件并加盖本单位公章），提供一个得</w:t>
            </w:r>
            <w:r>
              <w:rPr>
                <w:rFonts w:hint="eastAsia"/>
                <w:kern w:val="0"/>
                <w:lang w:eastAsia="zh-CN"/>
              </w:rPr>
              <w:t>4</w:t>
            </w:r>
            <w:r>
              <w:rPr>
                <w:kern w:val="0"/>
                <w:lang w:eastAsia="zh-CN"/>
              </w:rPr>
              <w:t>分，最多</w:t>
            </w:r>
            <w:r>
              <w:rPr>
                <w:rFonts w:hint="eastAsia"/>
                <w:kern w:val="0"/>
                <w:lang w:eastAsia="zh-CN"/>
              </w:rPr>
              <w:t>12</w:t>
            </w:r>
            <w:r>
              <w:rPr>
                <w:kern w:val="0"/>
                <w:lang w:eastAsia="zh-CN"/>
              </w:rPr>
              <w:t>分。</w:t>
            </w:r>
          </w:p>
        </w:tc>
        <w:tc>
          <w:tcPr>
            <w:tcW w:w="914" w:type="dxa"/>
          </w:tcPr>
          <w:p w:rsidR="009E385C" w:rsidRDefault="009E385C">
            <w:pPr>
              <w:spacing w:line="360" w:lineRule="auto"/>
              <w:ind w:right="101"/>
              <w:rPr>
                <w:kern w:val="0"/>
                <w:lang w:eastAsia="zh-CN"/>
              </w:rPr>
            </w:pPr>
          </w:p>
        </w:tc>
      </w:tr>
      <w:tr w:rsidR="009E385C">
        <w:trPr>
          <w:trHeight w:val="1105"/>
        </w:trPr>
        <w:tc>
          <w:tcPr>
            <w:tcW w:w="710" w:type="dxa"/>
            <w:vMerge w:val="restart"/>
            <w:vAlign w:val="center"/>
          </w:tcPr>
          <w:p w:rsidR="009E385C" w:rsidRDefault="00F345C3">
            <w:pPr>
              <w:spacing w:line="360" w:lineRule="auto"/>
              <w:jc w:val="center"/>
              <w:rPr>
                <w:kern w:val="0"/>
              </w:rPr>
            </w:pPr>
            <w:r>
              <w:rPr>
                <w:kern w:val="0"/>
              </w:rPr>
              <w:t>技术部分</w:t>
            </w:r>
          </w:p>
        </w:tc>
        <w:tc>
          <w:tcPr>
            <w:tcW w:w="709" w:type="dxa"/>
            <w:vMerge w:val="restart"/>
            <w:vAlign w:val="center"/>
          </w:tcPr>
          <w:p w:rsidR="009E385C" w:rsidRDefault="00F345C3">
            <w:pPr>
              <w:spacing w:line="360" w:lineRule="auto"/>
              <w:rPr>
                <w:kern w:val="0"/>
              </w:rPr>
            </w:pPr>
            <w:r>
              <w:rPr>
                <w:rFonts w:ascii="Calibri" w:eastAsia="Calibri" w:hAnsi="Calibri" w:cs="Calibri"/>
                <w:kern w:val="0"/>
              </w:rPr>
              <w:t>5</w:t>
            </w:r>
            <w:r>
              <w:rPr>
                <w:rFonts w:ascii="Calibri" w:hAnsi="Calibri" w:cs="Calibri" w:hint="eastAsia"/>
                <w:kern w:val="0"/>
              </w:rPr>
              <w:t>0</w:t>
            </w:r>
          </w:p>
        </w:tc>
        <w:tc>
          <w:tcPr>
            <w:tcW w:w="2249" w:type="dxa"/>
            <w:vAlign w:val="center"/>
          </w:tcPr>
          <w:p w:rsidR="009E385C" w:rsidRDefault="00F345C3">
            <w:pPr>
              <w:spacing w:line="360" w:lineRule="auto"/>
              <w:rPr>
                <w:kern w:val="0"/>
                <w:lang w:eastAsia="zh-CN"/>
              </w:rPr>
            </w:pPr>
            <w:r>
              <w:rPr>
                <w:kern w:val="0"/>
                <w:lang w:eastAsia="zh-CN"/>
              </w:rPr>
              <w:t>对</w:t>
            </w:r>
            <w:r w:rsidR="00576098">
              <w:rPr>
                <w:kern w:val="0"/>
                <w:lang w:eastAsia="zh-CN"/>
              </w:rPr>
              <w:t>响应人</w:t>
            </w:r>
            <w:r>
              <w:rPr>
                <w:kern w:val="0"/>
                <w:lang w:eastAsia="zh-CN"/>
              </w:rPr>
              <w:t>整体方案的评价（</w:t>
            </w:r>
            <w:r>
              <w:rPr>
                <w:rFonts w:ascii="Calibri" w:hAnsi="Calibri" w:cs="Calibri" w:hint="eastAsia"/>
                <w:kern w:val="0"/>
                <w:lang w:eastAsia="zh-CN"/>
              </w:rPr>
              <w:t>25</w:t>
            </w:r>
            <w:r>
              <w:rPr>
                <w:kern w:val="0"/>
                <w:lang w:eastAsia="zh-CN"/>
              </w:rPr>
              <w:t>分）</w:t>
            </w:r>
          </w:p>
        </w:tc>
        <w:tc>
          <w:tcPr>
            <w:tcW w:w="4287" w:type="dxa"/>
          </w:tcPr>
          <w:p w:rsidR="009E385C" w:rsidRDefault="00576098">
            <w:pPr>
              <w:spacing w:line="360" w:lineRule="auto"/>
              <w:rPr>
                <w:kern w:val="0"/>
                <w:lang w:eastAsia="zh-CN"/>
              </w:rPr>
            </w:pPr>
            <w:r>
              <w:rPr>
                <w:kern w:val="0"/>
                <w:lang w:eastAsia="zh-CN"/>
              </w:rPr>
              <w:t>响应人</w:t>
            </w:r>
            <w:r w:rsidR="00F345C3">
              <w:rPr>
                <w:kern w:val="0"/>
                <w:lang w:eastAsia="zh-CN"/>
              </w:rPr>
              <w:t>的方案设计合理细致</w:t>
            </w:r>
            <w:r w:rsidR="00F345C3">
              <w:rPr>
                <w:kern w:val="0"/>
                <w:lang w:eastAsia="zh-CN"/>
              </w:rPr>
              <w:t>,</w:t>
            </w:r>
            <w:r w:rsidR="00F345C3">
              <w:rPr>
                <w:kern w:val="0"/>
                <w:lang w:eastAsia="zh-CN"/>
              </w:rPr>
              <w:t>无缺项、漏项得</w:t>
            </w:r>
            <w:r w:rsidR="00F345C3">
              <w:rPr>
                <w:rFonts w:hint="eastAsia"/>
                <w:kern w:val="0"/>
                <w:lang w:eastAsia="zh-CN"/>
              </w:rPr>
              <w:t>25</w:t>
            </w:r>
            <w:r w:rsidR="00F345C3">
              <w:rPr>
                <w:kern w:val="0"/>
                <w:lang w:eastAsia="zh-CN"/>
              </w:rPr>
              <w:t>分；</w:t>
            </w:r>
          </w:p>
          <w:p w:rsidR="009E385C" w:rsidRDefault="00F345C3">
            <w:pPr>
              <w:spacing w:line="360" w:lineRule="auto"/>
              <w:rPr>
                <w:kern w:val="0"/>
                <w:lang w:eastAsia="zh-CN"/>
              </w:rPr>
            </w:pPr>
            <w:r>
              <w:rPr>
                <w:kern w:val="0"/>
                <w:lang w:eastAsia="zh-CN"/>
              </w:rPr>
              <w:t>方案设计细致，存在轻微缺项、漏项得</w:t>
            </w:r>
            <w:r>
              <w:rPr>
                <w:rFonts w:hint="eastAsia"/>
                <w:kern w:val="0"/>
                <w:lang w:eastAsia="zh-CN"/>
              </w:rPr>
              <w:t>18</w:t>
            </w:r>
            <w:r>
              <w:rPr>
                <w:kern w:val="0"/>
                <w:lang w:eastAsia="zh-CN"/>
              </w:rPr>
              <w:t>分；</w:t>
            </w:r>
          </w:p>
          <w:p w:rsidR="009E385C" w:rsidRDefault="00F345C3">
            <w:pPr>
              <w:spacing w:line="360" w:lineRule="auto"/>
              <w:rPr>
                <w:kern w:val="0"/>
                <w:lang w:eastAsia="zh-CN"/>
              </w:rPr>
            </w:pPr>
            <w:r>
              <w:rPr>
                <w:kern w:val="0"/>
                <w:lang w:eastAsia="zh-CN"/>
              </w:rPr>
              <w:t>方案设计一般，存在部分缺项、漏项得</w:t>
            </w:r>
            <w:r>
              <w:rPr>
                <w:rFonts w:hint="eastAsia"/>
                <w:kern w:val="0"/>
                <w:lang w:eastAsia="zh-CN"/>
              </w:rPr>
              <w:t>11</w:t>
            </w:r>
            <w:r>
              <w:rPr>
                <w:kern w:val="0"/>
                <w:lang w:eastAsia="zh-CN"/>
              </w:rPr>
              <w:t>分；</w:t>
            </w:r>
          </w:p>
          <w:p w:rsidR="008C3B4C" w:rsidRDefault="00F345C3" w:rsidP="00BF0EAC">
            <w:pPr>
              <w:spacing w:line="360" w:lineRule="auto"/>
              <w:rPr>
                <w:kern w:val="0"/>
                <w:lang w:eastAsia="zh-CN"/>
              </w:rPr>
            </w:pPr>
            <w:r>
              <w:rPr>
                <w:kern w:val="0"/>
                <w:lang w:eastAsia="zh-CN"/>
              </w:rPr>
              <w:t>方案设计粗糙，存在明显缺项、漏项得</w:t>
            </w:r>
            <w:r w:rsidR="00BF0EAC">
              <w:rPr>
                <w:rFonts w:hint="eastAsia"/>
                <w:kern w:val="0"/>
                <w:lang w:eastAsia="zh-CN"/>
              </w:rPr>
              <w:t>5</w:t>
            </w:r>
            <w:r>
              <w:rPr>
                <w:kern w:val="0"/>
                <w:lang w:eastAsia="zh-CN"/>
              </w:rPr>
              <w:t>分</w:t>
            </w:r>
            <w:r>
              <w:rPr>
                <w:rFonts w:hint="eastAsia"/>
                <w:kern w:val="0"/>
                <w:lang w:eastAsia="zh-CN"/>
              </w:rPr>
              <w:t>。</w:t>
            </w:r>
          </w:p>
        </w:tc>
        <w:tc>
          <w:tcPr>
            <w:tcW w:w="914" w:type="dxa"/>
          </w:tcPr>
          <w:p w:rsidR="009E385C" w:rsidRDefault="009E385C">
            <w:pPr>
              <w:spacing w:line="360" w:lineRule="auto"/>
              <w:rPr>
                <w:kern w:val="0"/>
                <w:lang w:eastAsia="zh-CN"/>
              </w:rPr>
            </w:pPr>
          </w:p>
        </w:tc>
      </w:tr>
      <w:tr w:rsidR="009E385C">
        <w:trPr>
          <w:trHeight w:val="1110"/>
        </w:trPr>
        <w:tc>
          <w:tcPr>
            <w:tcW w:w="710" w:type="dxa"/>
            <w:vMerge/>
          </w:tcPr>
          <w:p w:rsidR="009E385C" w:rsidRDefault="009E385C">
            <w:pPr>
              <w:spacing w:after="160" w:line="360" w:lineRule="auto"/>
              <w:rPr>
                <w:kern w:val="0"/>
                <w:lang w:eastAsia="zh-CN"/>
              </w:rPr>
            </w:pPr>
          </w:p>
        </w:tc>
        <w:tc>
          <w:tcPr>
            <w:tcW w:w="709" w:type="dxa"/>
            <w:vMerge/>
          </w:tcPr>
          <w:p w:rsidR="009E385C" w:rsidRDefault="009E385C">
            <w:pPr>
              <w:spacing w:after="160" w:line="360" w:lineRule="auto"/>
              <w:rPr>
                <w:kern w:val="0"/>
                <w:lang w:eastAsia="zh-CN"/>
              </w:rPr>
            </w:pPr>
          </w:p>
        </w:tc>
        <w:tc>
          <w:tcPr>
            <w:tcW w:w="2249" w:type="dxa"/>
            <w:vAlign w:val="center"/>
          </w:tcPr>
          <w:p w:rsidR="009E385C" w:rsidRDefault="00F345C3">
            <w:pPr>
              <w:spacing w:line="360" w:lineRule="auto"/>
              <w:rPr>
                <w:kern w:val="0"/>
                <w:lang w:eastAsia="zh-CN"/>
              </w:rPr>
            </w:pPr>
            <w:r>
              <w:rPr>
                <w:kern w:val="0"/>
                <w:lang w:eastAsia="zh-CN"/>
              </w:rPr>
              <w:t>对</w:t>
            </w:r>
            <w:r w:rsidR="00576098">
              <w:rPr>
                <w:kern w:val="0"/>
                <w:lang w:eastAsia="zh-CN"/>
              </w:rPr>
              <w:t>响应人</w:t>
            </w:r>
            <w:r>
              <w:rPr>
                <w:kern w:val="0"/>
                <w:lang w:eastAsia="zh-CN"/>
              </w:rPr>
              <w:t>拟投入项目团队的评价（</w:t>
            </w:r>
            <w:r>
              <w:rPr>
                <w:rFonts w:ascii="宋体" w:hAnsi="宋体" w:cs="Calibri" w:hint="eastAsia"/>
                <w:kern w:val="0"/>
                <w:lang w:eastAsia="zh-CN"/>
              </w:rPr>
              <w:t>10</w:t>
            </w:r>
            <w:r>
              <w:rPr>
                <w:kern w:val="0"/>
                <w:lang w:eastAsia="zh-CN"/>
              </w:rPr>
              <w:t>分）</w:t>
            </w:r>
          </w:p>
        </w:tc>
        <w:tc>
          <w:tcPr>
            <w:tcW w:w="4287" w:type="dxa"/>
          </w:tcPr>
          <w:p w:rsidR="009E385C" w:rsidRDefault="00F345C3">
            <w:pPr>
              <w:widowControl/>
              <w:snapToGrid w:val="0"/>
              <w:spacing w:line="360" w:lineRule="auto"/>
              <w:ind w:leftChars="20" w:left="42"/>
              <w:jc w:val="left"/>
              <w:rPr>
                <w:rFonts w:ascii="宋体" w:hAnsi="宋体"/>
                <w:kern w:val="0"/>
                <w:szCs w:val="21"/>
                <w:lang w:eastAsia="zh-CN"/>
              </w:rPr>
            </w:pPr>
            <w:r>
              <w:rPr>
                <w:rFonts w:ascii="宋体" w:hAnsi="宋体" w:hint="eastAsia"/>
                <w:kern w:val="0"/>
                <w:szCs w:val="21"/>
                <w:lang w:eastAsia="zh-CN"/>
              </w:rPr>
              <w:t>根据项目人员安排设置合理性，整体人员素质，项目负责人管理经验综合评分：</w:t>
            </w:r>
          </w:p>
          <w:p w:rsidR="009E385C" w:rsidRDefault="00F345C3">
            <w:pPr>
              <w:widowControl/>
              <w:spacing w:line="360" w:lineRule="auto"/>
              <w:jc w:val="left"/>
              <w:rPr>
                <w:rFonts w:ascii="宋体" w:hAnsi="宋体" w:cs="宋体"/>
                <w:kern w:val="0"/>
                <w:szCs w:val="21"/>
                <w:lang w:eastAsia="zh-CN"/>
              </w:rPr>
            </w:pPr>
            <w:r>
              <w:rPr>
                <w:rFonts w:ascii="宋体" w:hAnsi="宋体" w:cs="宋体" w:hint="eastAsia"/>
                <w:kern w:val="0"/>
                <w:szCs w:val="21"/>
                <w:lang w:eastAsia="zh-CN"/>
              </w:rPr>
              <w:t>针对项目实施的服务团队有详细描述，项目负责人具有10年以上工作经验且团队人员5人以上，配备合理，全体人员素质较高，项目组所有人员均有丰富的同类工作经验，得 10分</w:t>
            </w:r>
          </w:p>
          <w:p w:rsidR="009E385C" w:rsidRDefault="00F345C3">
            <w:pPr>
              <w:widowControl/>
              <w:spacing w:line="360" w:lineRule="auto"/>
              <w:jc w:val="left"/>
              <w:rPr>
                <w:rFonts w:ascii="宋体" w:hAnsi="宋体" w:cs="宋体"/>
                <w:kern w:val="0"/>
                <w:szCs w:val="21"/>
                <w:lang w:eastAsia="zh-CN"/>
              </w:rPr>
            </w:pPr>
            <w:r>
              <w:rPr>
                <w:rFonts w:ascii="宋体" w:hAnsi="宋体" w:cs="宋体" w:hint="eastAsia"/>
                <w:kern w:val="0"/>
                <w:szCs w:val="21"/>
                <w:lang w:eastAsia="zh-CN"/>
              </w:rPr>
              <w:t>针对项目实施的服务团队有详细描述，项目负责人具有10-12年工作经验，或团队人员3人至5人，配备能满足项目要求，项目服务主管具有丰富工作经验，其它人员欠缺，</w:t>
            </w:r>
            <w:r>
              <w:rPr>
                <w:rFonts w:ascii="宋体" w:hAnsi="宋体" w:cs="宋体" w:hint="eastAsia"/>
                <w:kern w:val="0"/>
                <w:szCs w:val="21"/>
                <w:lang w:eastAsia="zh-CN"/>
              </w:rPr>
              <w:lastRenderedPageBreak/>
              <w:t>得7分</w:t>
            </w:r>
          </w:p>
          <w:p w:rsidR="009E385C" w:rsidRDefault="00F345C3">
            <w:pPr>
              <w:widowControl/>
              <w:spacing w:line="360" w:lineRule="auto"/>
              <w:jc w:val="left"/>
              <w:rPr>
                <w:rFonts w:ascii="宋体" w:hAnsi="宋体" w:cs="宋体"/>
                <w:kern w:val="0"/>
                <w:szCs w:val="21"/>
                <w:lang w:eastAsia="zh-CN"/>
              </w:rPr>
            </w:pPr>
            <w:r>
              <w:rPr>
                <w:rFonts w:ascii="宋体" w:hAnsi="宋体" w:cs="宋体" w:hint="eastAsia"/>
                <w:kern w:val="0"/>
                <w:szCs w:val="21"/>
                <w:lang w:eastAsia="zh-CN"/>
              </w:rPr>
              <w:t>有项目实施的服务团队描述但项目负责人具有10年以下工作经验，或服务团队人员少于3人，无法全部满足项目需求，项目团队整体同类工作经验欠缺，得4分</w:t>
            </w:r>
          </w:p>
          <w:p w:rsidR="009E385C" w:rsidRDefault="00F345C3">
            <w:pPr>
              <w:widowControl/>
              <w:spacing w:line="360" w:lineRule="auto"/>
              <w:jc w:val="left"/>
              <w:rPr>
                <w:kern w:val="0"/>
                <w:lang w:eastAsia="zh-CN"/>
              </w:rPr>
            </w:pPr>
            <w:r>
              <w:rPr>
                <w:rFonts w:ascii="宋体" w:hAnsi="宋体" w:cs="宋体" w:hint="eastAsia"/>
                <w:kern w:val="0"/>
                <w:szCs w:val="21"/>
                <w:lang w:eastAsia="zh-CN"/>
              </w:rPr>
              <w:t>项目团队无说明或人员团队完全无法满足项目要求，得1分。</w:t>
            </w:r>
            <w:bookmarkStart w:id="12" w:name="_GoBack"/>
            <w:bookmarkEnd w:id="12"/>
          </w:p>
        </w:tc>
        <w:tc>
          <w:tcPr>
            <w:tcW w:w="914" w:type="dxa"/>
          </w:tcPr>
          <w:p w:rsidR="009E385C" w:rsidRDefault="009E385C">
            <w:pPr>
              <w:widowControl/>
              <w:snapToGrid w:val="0"/>
              <w:spacing w:line="360" w:lineRule="auto"/>
              <w:ind w:leftChars="20" w:left="42"/>
              <w:jc w:val="left"/>
              <w:rPr>
                <w:rFonts w:ascii="宋体" w:hAnsi="宋体"/>
                <w:kern w:val="0"/>
                <w:szCs w:val="21"/>
                <w:lang w:eastAsia="zh-CN"/>
              </w:rPr>
            </w:pPr>
          </w:p>
        </w:tc>
      </w:tr>
      <w:tr w:rsidR="009E385C">
        <w:trPr>
          <w:trHeight w:val="1376"/>
        </w:trPr>
        <w:tc>
          <w:tcPr>
            <w:tcW w:w="710" w:type="dxa"/>
            <w:vMerge/>
          </w:tcPr>
          <w:p w:rsidR="009E385C" w:rsidRDefault="009E385C">
            <w:pPr>
              <w:spacing w:after="160" w:line="360" w:lineRule="auto"/>
              <w:rPr>
                <w:kern w:val="0"/>
                <w:lang w:eastAsia="zh-CN"/>
              </w:rPr>
            </w:pPr>
          </w:p>
        </w:tc>
        <w:tc>
          <w:tcPr>
            <w:tcW w:w="709" w:type="dxa"/>
            <w:vMerge/>
          </w:tcPr>
          <w:p w:rsidR="009E385C" w:rsidRDefault="009E385C">
            <w:pPr>
              <w:spacing w:after="160" w:line="360" w:lineRule="auto"/>
              <w:rPr>
                <w:kern w:val="0"/>
                <w:lang w:eastAsia="zh-CN"/>
              </w:rPr>
            </w:pPr>
          </w:p>
        </w:tc>
        <w:tc>
          <w:tcPr>
            <w:tcW w:w="2249" w:type="dxa"/>
            <w:vAlign w:val="center"/>
          </w:tcPr>
          <w:p w:rsidR="009E385C" w:rsidRDefault="00F345C3">
            <w:pPr>
              <w:spacing w:line="360" w:lineRule="auto"/>
              <w:rPr>
                <w:kern w:val="0"/>
                <w:lang w:eastAsia="zh-CN"/>
              </w:rPr>
            </w:pPr>
            <w:r>
              <w:rPr>
                <w:kern w:val="0"/>
                <w:lang w:eastAsia="zh-CN"/>
              </w:rPr>
              <w:t>对</w:t>
            </w:r>
            <w:r w:rsidR="00576098">
              <w:rPr>
                <w:kern w:val="0"/>
                <w:lang w:eastAsia="zh-CN"/>
              </w:rPr>
              <w:t>响应人</w:t>
            </w:r>
            <w:r>
              <w:rPr>
                <w:kern w:val="0"/>
                <w:lang w:eastAsia="zh-CN"/>
              </w:rPr>
              <w:t>服务方案和保障措施的评价（</w:t>
            </w:r>
            <w:r>
              <w:rPr>
                <w:rFonts w:ascii="Calibri" w:eastAsia="Calibri" w:hAnsi="Calibri" w:cs="Calibri"/>
                <w:kern w:val="0"/>
                <w:lang w:eastAsia="zh-CN"/>
              </w:rPr>
              <w:t xml:space="preserve">10 </w:t>
            </w:r>
            <w:r>
              <w:rPr>
                <w:kern w:val="0"/>
                <w:lang w:eastAsia="zh-CN"/>
              </w:rPr>
              <w:t>分）</w:t>
            </w:r>
          </w:p>
        </w:tc>
        <w:tc>
          <w:tcPr>
            <w:tcW w:w="4287" w:type="dxa"/>
          </w:tcPr>
          <w:p w:rsidR="009E385C" w:rsidRDefault="00576098">
            <w:pPr>
              <w:spacing w:line="360" w:lineRule="auto"/>
              <w:rPr>
                <w:kern w:val="0"/>
                <w:lang w:eastAsia="zh-CN"/>
              </w:rPr>
            </w:pPr>
            <w:bookmarkStart w:id="13" w:name="OLE_LINK1"/>
            <w:r>
              <w:rPr>
                <w:kern w:val="0"/>
                <w:lang w:eastAsia="zh-CN"/>
              </w:rPr>
              <w:t>响应人</w:t>
            </w:r>
            <w:r w:rsidR="00F345C3">
              <w:rPr>
                <w:kern w:val="0"/>
                <w:lang w:eastAsia="zh-CN"/>
              </w:rPr>
              <w:t>提供的服务方案和保障措施严密、针对性强、切实可行得</w:t>
            </w:r>
            <w:r w:rsidR="00F345C3">
              <w:rPr>
                <w:kern w:val="0"/>
                <w:lang w:eastAsia="zh-CN"/>
              </w:rPr>
              <w:t>10</w:t>
            </w:r>
            <w:r w:rsidR="00F345C3">
              <w:rPr>
                <w:kern w:val="0"/>
                <w:lang w:eastAsia="zh-CN"/>
              </w:rPr>
              <w:t>分；</w:t>
            </w:r>
          </w:p>
          <w:p w:rsidR="009E385C" w:rsidRDefault="00576098">
            <w:pPr>
              <w:spacing w:line="360" w:lineRule="auto"/>
              <w:rPr>
                <w:kern w:val="0"/>
                <w:lang w:eastAsia="zh-CN"/>
              </w:rPr>
            </w:pPr>
            <w:r>
              <w:rPr>
                <w:kern w:val="0"/>
                <w:lang w:eastAsia="zh-CN"/>
              </w:rPr>
              <w:t>响应人</w:t>
            </w:r>
            <w:r w:rsidR="00F345C3">
              <w:rPr>
                <w:kern w:val="0"/>
                <w:lang w:eastAsia="zh-CN"/>
              </w:rPr>
              <w:t>提供的</w:t>
            </w:r>
            <w:r w:rsidR="00325C43">
              <w:rPr>
                <w:rFonts w:hint="eastAsia"/>
                <w:kern w:val="0"/>
                <w:lang w:eastAsia="zh-CN"/>
              </w:rPr>
              <w:t>服务方案和保障措施</w:t>
            </w:r>
            <w:r w:rsidR="00F345C3">
              <w:rPr>
                <w:kern w:val="0"/>
                <w:lang w:eastAsia="zh-CN"/>
              </w:rPr>
              <w:t>合理、基本可行得</w:t>
            </w:r>
            <w:r w:rsidR="00F345C3">
              <w:rPr>
                <w:kern w:val="0"/>
                <w:lang w:eastAsia="zh-CN"/>
              </w:rPr>
              <w:t>7</w:t>
            </w:r>
            <w:r w:rsidR="00F345C3">
              <w:rPr>
                <w:kern w:val="0"/>
                <w:lang w:eastAsia="zh-CN"/>
              </w:rPr>
              <w:t>分；</w:t>
            </w:r>
          </w:p>
          <w:p w:rsidR="009E385C" w:rsidRDefault="00576098">
            <w:pPr>
              <w:spacing w:line="360" w:lineRule="auto"/>
              <w:rPr>
                <w:kern w:val="0"/>
                <w:lang w:eastAsia="zh-CN"/>
              </w:rPr>
            </w:pPr>
            <w:r>
              <w:rPr>
                <w:kern w:val="0"/>
                <w:lang w:eastAsia="zh-CN"/>
              </w:rPr>
              <w:t>响应人</w:t>
            </w:r>
            <w:r w:rsidR="00F345C3">
              <w:rPr>
                <w:kern w:val="0"/>
                <w:lang w:eastAsia="zh-CN"/>
              </w:rPr>
              <w:t>提供的</w:t>
            </w:r>
            <w:r w:rsidR="00325C43">
              <w:rPr>
                <w:rFonts w:hint="eastAsia"/>
                <w:kern w:val="0"/>
                <w:lang w:eastAsia="zh-CN"/>
              </w:rPr>
              <w:t>服务方案和保障措施</w:t>
            </w:r>
            <w:r w:rsidR="00F345C3">
              <w:rPr>
                <w:kern w:val="0"/>
                <w:lang w:eastAsia="zh-CN"/>
              </w:rPr>
              <w:t>基本合理、部分可行得</w:t>
            </w:r>
            <w:r w:rsidR="00F345C3">
              <w:rPr>
                <w:kern w:val="0"/>
                <w:lang w:eastAsia="zh-CN"/>
              </w:rPr>
              <w:t>4</w:t>
            </w:r>
            <w:r w:rsidR="00F345C3">
              <w:rPr>
                <w:kern w:val="0"/>
                <w:lang w:eastAsia="zh-CN"/>
              </w:rPr>
              <w:t>分；</w:t>
            </w:r>
          </w:p>
          <w:p w:rsidR="009E385C" w:rsidRDefault="00576098">
            <w:pPr>
              <w:spacing w:line="360" w:lineRule="auto"/>
              <w:rPr>
                <w:kern w:val="0"/>
                <w:lang w:eastAsia="zh-CN"/>
              </w:rPr>
            </w:pPr>
            <w:r>
              <w:rPr>
                <w:kern w:val="0"/>
                <w:lang w:eastAsia="zh-CN"/>
              </w:rPr>
              <w:t>响应人</w:t>
            </w:r>
            <w:r w:rsidR="00F345C3">
              <w:rPr>
                <w:kern w:val="0"/>
                <w:lang w:eastAsia="zh-CN"/>
              </w:rPr>
              <w:t>提供的</w:t>
            </w:r>
            <w:r w:rsidR="00325C43">
              <w:rPr>
                <w:rFonts w:hint="eastAsia"/>
                <w:kern w:val="0"/>
                <w:lang w:eastAsia="zh-CN"/>
              </w:rPr>
              <w:t>服务方案和保障措施</w:t>
            </w:r>
            <w:r w:rsidR="00F345C3">
              <w:rPr>
                <w:kern w:val="0"/>
                <w:lang w:eastAsia="zh-CN"/>
              </w:rPr>
              <w:t>不合理、不可行得</w:t>
            </w:r>
            <w:r w:rsidR="00F345C3">
              <w:rPr>
                <w:kern w:val="0"/>
                <w:lang w:eastAsia="zh-CN"/>
              </w:rPr>
              <w:t>1</w:t>
            </w:r>
            <w:r w:rsidR="00F345C3">
              <w:rPr>
                <w:kern w:val="0"/>
                <w:lang w:eastAsia="zh-CN"/>
              </w:rPr>
              <w:t>分。</w:t>
            </w:r>
            <w:bookmarkEnd w:id="13"/>
          </w:p>
        </w:tc>
        <w:tc>
          <w:tcPr>
            <w:tcW w:w="914" w:type="dxa"/>
          </w:tcPr>
          <w:p w:rsidR="009E385C" w:rsidRDefault="009E385C">
            <w:pPr>
              <w:spacing w:line="360" w:lineRule="auto"/>
              <w:rPr>
                <w:kern w:val="0"/>
                <w:lang w:eastAsia="zh-CN"/>
              </w:rPr>
            </w:pPr>
          </w:p>
        </w:tc>
      </w:tr>
      <w:tr w:rsidR="009E385C">
        <w:trPr>
          <w:trHeight w:val="324"/>
        </w:trPr>
        <w:tc>
          <w:tcPr>
            <w:tcW w:w="710" w:type="dxa"/>
            <w:vMerge/>
          </w:tcPr>
          <w:p w:rsidR="009E385C" w:rsidRDefault="009E385C">
            <w:pPr>
              <w:spacing w:after="160" w:line="360" w:lineRule="auto"/>
              <w:rPr>
                <w:kern w:val="0"/>
                <w:lang w:eastAsia="zh-CN"/>
              </w:rPr>
            </w:pPr>
          </w:p>
        </w:tc>
        <w:tc>
          <w:tcPr>
            <w:tcW w:w="709" w:type="dxa"/>
            <w:vMerge/>
          </w:tcPr>
          <w:p w:rsidR="009E385C" w:rsidRDefault="009E385C">
            <w:pPr>
              <w:spacing w:after="160" w:line="360" w:lineRule="auto"/>
              <w:rPr>
                <w:kern w:val="0"/>
                <w:lang w:eastAsia="zh-CN"/>
              </w:rPr>
            </w:pPr>
          </w:p>
        </w:tc>
        <w:tc>
          <w:tcPr>
            <w:tcW w:w="2249" w:type="dxa"/>
            <w:vAlign w:val="center"/>
          </w:tcPr>
          <w:p w:rsidR="009E385C" w:rsidRDefault="00F345C3">
            <w:pPr>
              <w:spacing w:line="360" w:lineRule="auto"/>
              <w:rPr>
                <w:kern w:val="0"/>
                <w:lang w:eastAsia="zh-CN"/>
              </w:rPr>
            </w:pPr>
            <w:r>
              <w:rPr>
                <w:kern w:val="0"/>
                <w:lang w:eastAsia="zh-CN"/>
              </w:rPr>
              <w:t>对</w:t>
            </w:r>
            <w:r w:rsidR="00576098">
              <w:rPr>
                <w:kern w:val="0"/>
                <w:lang w:eastAsia="zh-CN"/>
              </w:rPr>
              <w:t>响应人</w:t>
            </w:r>
            <w:r>
              <w:rPr>
                <w:kern w:val="0"/>
                <w:lang w:eastAsia="zh-CN"/>
              </w:rPr>
              <w:t>拟采取的应急预案的评价（</w:t>
            </w:r>
            <w:r>
              <w:rPr>
                <w:rFonts w:ascii="Calibri" w:hAnsi="Calibri" w:cs="Calibri" w:hint="eastAsia"/>
                <w:kern w:val="0"/>
                <w:lang w:eastAsia="zh-CN"/>
              </w:rPr>
              <w:t>5</w:t>
            </w:r>
            <w:r>
              <w:rPr>
                <w:kern w:val="0"/>
                <w:lang w:eastAsia="zh-CN"/>
              </w:rPr>
              <w:t>分）</w:t>
            </w:r>
          </w:p>
        </w:tc>
        <w:tc>
          <w:tcPr>
            <w:tcW w:w="4287" w:type="dxa"/>
          </w:tcPr>
          <w:p w:rsidR="009E385C" w:rsidRDefault="00F345C3">
            <w:pPr>
              <w:spacing w:line="360" w:lineRule="auto"/>
              <w:rPr>
                <w:kern w:val="0"/>
                <w:lang w:eastAsia="zh-CN"/>
              </w:rPr>
            </w:pPr>
            <w:r>
              <w:rPr>
                <w:kern w:val="0"/>
                <w:lang w:eastAsia="zh-CN"/>
              </w:rPr>
              <w:t>项目具有应急预案，且细致合理、针对性强，出现问题，能及时实施应对措施得</w:t>
            </w:r>
            <w:r>
              <w:rPr>
                <w:rFonts w:hint="eastAsia"/>
                <w:kern w:val="0"/>
                <w:lang w:eastAsia="zh-CN"/>
              </w:rPr>
              <w:t>5</w:t>
            </w:r>
            <w:r>
              <w:rPr>
                <w:kern w:val="0"/>
                <w:lang w:eastAsia="zh-CN"/>
              </w:rPr>
              <w:t>分；</w:t>
            </w:r>
          </w:p>
          <w:p w:rsidR="009E385C" w:rsidRDefault="00F345C3">
            <w:pPr>
              <w:spacing w:line="360" w:lineRule="auto"/>
              <w:rPr>
                <w:kern w:val="0"/>
                <w:lang w:eastAsia="zh-CN"/>
              </w:rPr>
            </w:pPr>
            <w:r>
              <w:rPr>
                <w:kern w:val="0"/>
                <w:lang w:eastAsia="zh-CN"/>
              </w:rPr>
              <w:t>项目具有应急预案，针对性一般得</w:t>
            </w:r>
            <w:r>
              <w:rPr>
                <w:rFonts w:hint="eastAsia"/>
                <w:kern w:val="0"/>
                <w:lang w:eastAsia="zh-CN"/>
              </w:rPr>
              <w:t>3</w:t>
            </w:r>
            <w:r>
              <w:rPr>
                <w:kern w:val="0"/>
                <w:lang w:eastAsia="zh-CN"/>
              </w:rPr>
              <w:t>分；</w:t>
            </w:r>
          </w:p>
          <w:p w:rsidR="009E385C" w:rsidRDefault="00F345C3">
            <w:pPr>
              <w:spacing w:line="360" w:lineRule="auto"/>
              <w:rPr>
                <w:kern w:val="0"/>
                <w:lang w:eastAsia="zh-CN"/>
              </w:rPr>
            </w:pPr>
            <w:r>
              <w:rPr>
                <w:kern w:val="0"/>
                <w:lang w:eastAsia="zh-CN"/>
              </w:rPr>
              <w:t>项目具有应急预案，相对简单、针对性弱得</w:t>
            </w:r>
            <w:r>
              <w:rPr>
                <w:rFonts w:hint="eastAsia"/>
                <w:kern w:val="0"/>
                <w:lang w:eastAsia="zh-CN"/>
              </w:rPr>
              <w:t>2</w:t>
            </w:r>
            <w:r>
              <w:rPr>
                <w:kern w:val="0"/>
                <w:lang w:eastAsia="zh-CN"/>
              </w:rPr>
              <w:t>分；</w:t>
            </w:r>
          </w:p>
          <w:p w:rsidR="009E385C" w:rsidRDefault="00F345C3">
            <w:pPr>
              <w:spacing w:line="360" w:lineRule="auto"/>
              <w:rPr>
                <w:kern w:val="0"/>
                <w:lang w:eastAsia="zh-CN"/>
              </w:rPr>
            </w:pPr>
            <w:r>
              <w:rPr>
                <w:kern w:val="0"/>
                <w:lang w:eastAsia="zh-CN"/>
              </w:rPr>
              <w:t>项目具有应急预案，但简单且不具有针对性得</w:t>
            </w:r>
            <w:r>
              <w:rPr>
                <w:kern w:val="0"/>
                <w:lang w:eastAsia="zh-CN"/>
              </w:rPr>
              <w:t>1</w:t>
            </w:r>
            <w:r>
              <w:rPr>
                <w:kern w:val="0"/>
                <w:lang w:eastAsia="zh-CN"/>
              </w:rPr>
              <w:t>分。</w:t>
            </w:r>
          </w:p>
        </w:tc>
        <w:tc>
          <w:tcPr>
            <w:tcW w:w="914" w:type="dxa"/>
          </w:tcPr>
          <w:p w:rsidR="009E385C" w:rsidRDefault="009E385C">
            <w:pPr>
              <w:spacing w:line="360" w:lineRule="auto"/>
              <w:rPr>
                <w:kern w:val="0"/>
                <w:lang w:eastAsia="zh-CN"/>
              </w:rPr>
            </w:pPr>
          </w:p>
        </w:tc>
      </w:tr>
    </w:tbl>
    <w:p w:rsidR="009E385C" w:rsidRDefault="009E385C">
      <w:pPr>
        <w:widowControl/>
        <w:spacing w:line="360" w:lineRule="auto"/>
        <w:jc w:val="left"/>
        <w:rPr>
          <w:rFonts w:ascii="宋体" w:hAnsi="宋体" w:cs="宋体"/>
          <w:b/>
          <w:bCs/>
          <w:kern w:val="0"/>
          <w:sz w:val="20"/>
          <w:szCs w:val="21"/>
        </w:rPr>
      </w:pPr>
    </w:p>
    <w:p w:rsidR="009E385C" w:rsidRDefault="00F345C3">
      <w:pPr>
        <w:pStyle w:val="ad"/>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9E385C" w:rsidRDefault="009E385C">
      <w:pPr>
        <w:spacing w:line="360" w:lineRule="auto"/>
        <w:rPr>
          <w:rFonts w:ascii="楷体" w:eastAsia="楷体" w:hAnsi="楷体" w:cs="Calibri"/>
          <w:szCs w:val="21"/>
        </w:rPr>
      </w:pPr>
    </w:p>
    <w:p w:rsidR="009E385C" w:rsidRDefault="009E385C">
      <w:pPr>
        <w:spacing w:line="360" w:lineRule="auto"/>
        <w:jc w:val="center"/>
        <w:rPr>
          <w:rFonts w:ascii="楷体" w:eastAsia="楷体" w:hAnsi="楷体" w:cs="Calibri"/>
          <w:b/>
          <w:sz w:val="36"/>
          <w:szCs w:val="21"/>
        </w:rPr>
      </w:pPr>
    </w:p>
    <w:p w:rsidR="009E385C" w:rsidRDefault="00F345C3">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9E385C" w:rsidRDefault="00F345C3">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9E385C" w:rsidRDefault="009E385C">
      <w:pPr>
        <w:spacing w:line="360" w:lineRule="auto"/>
        <w:rPr>
          <w:rFonts w:ascii="楷体" w:eastAsia="楷体" w:hAnsi="楷体" w:cs="Calibri"/>
          <w:szCs w:val="21"/>
        </w:rPr>
      </w:pPr>
    </w:p>
    <w:p w:rsidR="009E385C" w:rsidRDefault="009E385C">
      <w:pPr>
        <w:spacing w:line="360" w:lineRule="auto"/>
        <w:rPr>
          <w:rFonts w:ascii="楷体" w:eastAsia="楷体" w:hAnsi="楷体" w:cs="Calibri"/>
          <w:szCs w:val="21"/>
        </w:rPr>
      </w:pPr>
    </w:p>
    <w:p w:rsidR="009E385C" w:rsidRDefault="009E385C">
      <w:pPr>
        <w:spacing w:line="360" w:lineRule="auto"/>
        <w:rPr>
          <w:rFonts w:ascii="楷体" w:eastAsia="楷体" w:hAnsi="楷体" w:cs="Calibri"/>
          <w:sz w:val="28"/>
          <w:szCs w:val="21"/>
        </w:rPr>
      </w:pPr>
    </w:p>
    <w:p w:rsidR="009E385C" w:rsidRDefault="00F345C3">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9E385C" w:rsidRDefault="00F345C3">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9E385C" w:rsidRDefault="00F345C3">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9E385C" w:rsidRDefault="00F345C3">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9E385C" w:rsidRDefault="009E385C">
      <w:pPr>
        <w:spacing w:line="360" w:lineRule="auto"/>
        <w:rPr>
          <w:rFonts w:ascii="楷体" w:eastAsia="楷体" w:hAnsi="楷体" w:cs="Calibri"/>
          <w:sz w:val="28"/>
          <w:szCs w:val="21"/>
        </w:rPr>
      </w:pPr>
    </w:p>
    <w:p w:rsidR="009E385C" w:rsidRDefault="009E385C">
      <w:pPr>
        <w:spacing w:line="360" w:lineRule="auto"/>
        <w:rPr>
          <w:rFonts w:ascii="楷体" w:eastAsia="楷体" w:hAnsi="楷体" w:cs="Calibri"/>
          <w:sz w:val="28"/>
          <w:szCs w:val="21"/>
        </w:rPr>
      </w:pPr>
    </w:p>
    <w:p w:rsidR="009E385C" w:rsidRDefault="009E385C">
      <w:pPr>
        <w:spacing w:line="360" w:lineRule="auto"/>
        <w:rPr>
          <w:rFonts w:ascii="楷体" w:eastAsia="楷体" w:hAnsi="楷体" w:cs="Calibri"/>
          <w:sz w:val="28"/>
          <w:szCs w:val="21"/>
        </w:rPr>
      </w:pPr>
    </w:p>
    <w:p w:rsidR="009E385C" w:rsidRDefault="00F345C3">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9E385C" w:rsidRDefault="00F345C3">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9E385C" w:rsidRDefault="00F345C3">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9E385C" w:rsidRDefault="00F345C3">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9E385C" w:rsidRDefault="00F345C3">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9E385C" w:rsidRDefault="00F345C3">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9E385C" w:rsidRDefault="009E385C">
      <w:pPr>
        <w:spacing w:line="360" w:lineRule="auto"/>
        <w:rPr>
          <w:rFonts w:ascii="楷体" w:eastAsia="楷体" w:hAnsi="楷体" w:cs="Calibri"/>
          <w:b/>
          <w:sz w:val="28"/>
          <w:szCs w:val="21"/>
        </w:rPr>
      </w:pPr>
    </w:p>
    <w:p w:rsidR="009E385C" w:rsidRDefault="009E385C">
      <w:pPr>
        <w:spacing w:line="360" w:lineRule="auto"/>
        <w:rPr>
          <w:rFonts w:ascii="楷体" w:eastAsia="楷体" w:hAnsi="楷体" w:cs="Calibri"/>
          <w:b/>
          <w:sz w:val="28"/>
          <w:szCs w:val="21"/>
        </w:rPr>
      </w:pPr>
    </w:p>
    <w:p w:rsidR="009E385C" w:rsidRDefault="009E385C">
      <w:pPr>
        <w:spacing w:line="360" w:lineRule="auto"/>
        <w:rPr>
          <w:rFonts w:ascii="楷体" w:eastAsia="楷体" w:hAnsi="楷体" w:cs="Calibri"/>
          <w:szCs w:val="21"/>
        </w:rPr>
      </w:pPr>
    </w:p>
    <w:p w:rsidR="009E385C" w:rsidRDefault="009E385C">
      <w:pPr>
        <w:spacing w:line="360" w:lineRule="auto"/>
        <w:rPr>
          <w:rFonts w:ascii="楷体" w:eastAsia="楷体" w:hAnsi="楷体" w:cs="Calibri"/>
          <w:szCs w:val="21"/>
        </w:rPr>
      </w:pPr>
    </w:p>
    <w:p w:rsidR="009E385C" w:rsidRDefault="009E385C">
      <w:pPr>
        <w:spacing w:line="360" w:lineRule="auto"/>
        <w:rPr>
          <w:rFonts w:ascii="楷体" w:eastAsia="楷体" w:hAnsi="楷体" w:cs="Calibri"/>
          <w:szCs w:val="21"/>
        </w:rPr>
      </w:pPr>
    </w:p>
    <w:p w:rsidR="009E385C" w:rsidRDefault="00F345C3">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9E385C" w:rsidRDefault="009E385C">
      <w:pPr>
        <w:spacing w:line="360" w:lineRule="auto"/>
        <w:ind w:firstLineChars="200" w:firstLine="420"/>
        <w:rPr>
          <w:rFonts w:ascii="楷体" w:eastAsia="楷体" w:hAnsi="楷体" w:cs="Calibri"/>
          <w:szCs w:val="21"/>
        </w:rPr>
      </w:pP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(l)合同条款</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9E385C" w:rsidRDefault="00F345C3">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9E385C" w:rsidRDefault="00F345C3">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9E385C" w:rsidRDefault="00F345C3">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9E385C" w:rsidRDefault="00F345C3">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9E385C" w:rsidRDefault="00F345C3">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9E385C" w:rsidRDefault="00F345C3">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9E385C" w:rsidRDefault="00F345C3">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9E385C" w:rsidRDefault="00F345C3">
      <w:pPr>
        <w:spacing w:line="360" w:lineRule="auto"/>
        <w:ind w:firstLineChars="200" w:firstLine="420"/>
        <w:rPr>
          <w:rFonts w:ascii="楷体" w:eastAsia="楷体" w:hAnsi="楷体" w:cs="Calibri"/>
          <w:bCs/>
          <w:iCs/>
          <w:szCs w:val="21"/>
        </w:rPr>
      </w:pPr>
      <w:r>
        <w:rPr>
          <w:rFonts w:ascii="楷体" w:eastAsia="楷体" w:hAnsi="楷体" w:cs="Calibri" w:hint="eastAsia"/>
          <w:szCs w:val="21"/>
        </w:rPr>
        <w:lastRenderedPageBreak/>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9E385C" w:rsidRDefault="00F345C3">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9E385C" w:rsidRDefault="00F345C3">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9E385C" w:rsidRDefault="00F345C3">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9E385C" w:rsidRDefault="00F345C3">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9E385C" w:rsidRDefault="00F345C3" w:rsidP="00967FCB">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w:t>
      </w:r>
      <w:r>
        <w:rPr>
          <w:rFonts w:ascii="楷体" w:eastAsia="楷体" w:hAnsi="楷体" w:cs="Calibri" w:hint="eastAsia"/>
          <w:szCs w:val="21"/>
        </w:rPr>
        <w:lastRenderedPageBreak/>
        <w:t>上新开发的软件、产品、流程、系统等的知识产权，归甲方所有。未经甲方同意乙方不能用于第三方的业务。</w:t>
      </w:r>
    </w:p>
    <w:p w:rsidR="009E385C" w:rsidRDefault="00F345C3">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9E385C" w:rsidRDefault="00F345C3">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9E385C" w:rsidRDefault="00F345C3">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9E385C" w:rsidRDefault="00F345C3">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9E385C" w:rsidRDefault="00F345C3">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9E385C" w:rsidRDefault="00F345C3">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9E385C" w:rsidRDefault="00F345C3">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10.1 不可抗力包括地震、水灾、台风等重大自然灾害，战争等因素，以及其他不能预见、不能避免且不能克服等因素。</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9E385C" w:rsidRDefault="00F345C3">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9E385C" w:rsidRDefault="00F345C3">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9E385C" w:rsidRDefault="00F345C3">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9E385C" w:rsidRDefault="00F345C3">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9E385C" w:rsidRDefault="00F345C3">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9E385C" w:rsidRDefault="00F345C3">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9E385C" w:rsidRDefault="00F345C3">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9E385C" w:rsidRDefault="00F345C3">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9E385C" w:rsidRDefault="009E385C">
      <w:pPr>
        <w:spacing w:line="360" w:lineRule="auto"/>
        <w:ind w:firstLine="435"/>
        <w:rPr>
          <w:rFonts w:ascii="楷体" w:eastAsia="楷体" w:hAnsi="楷体" w:cs="Calibri"/>
          <w:sz w:val="22"/>
          <w:szCs w:val="21"/>
        </w:rPr>
      </w:pPr>
    </w:p>
    <w:p w:rsidR="009E385C" w:rsidRDefault="009E385C">
      <w:pPr>
        <w:spacing w:line="360" w:lineRule="auto"/>
        <w:ind w:firstLine="435"/>
        <w:rPr>
          <w:rFonts w:ascii="楷体" w:eastAsia="楷体" w:hAnsi="楷体" w:cs="Calibri"/>
          <w:sz w:val="22"/>
          <w:szCs w:val="21"/>
        </w:rPr>
      </w:pPr>
    </w:p>
    <w:p w:rsidR="009E385C" w:rsidRDefault="009E385C">
      <w:pPr>
        <w:spacing w:line="360" w:lineRule="auto"/>
        <w:ind w:firstLine="435"/>
        <w:rPr>
          <w:rFonts w:ascii="楷体" w:eastAsia="楷体" w:hAnsi="楷体" w:cs="Calibri"/>
          <w:sz w:val="22"/>
          <w:szCs w:val="21"/>
        </w:rPr>
      </w:pPr>
    </w:p>
    <w:p w:rsidR="009E385C" w:rsidRDefault="00F345C3">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9E385C" w:rsidRDefault="009E385C">
      <w:pPr>
        <w:spacing w:line="360" w:lineRule="auto"/>
        <w:rPr>
          <w:rFonts w:ascii="楷体" w:eastAsia="楷体" w:hAnsi="楷体" w:cs="Calibri"/>
          <w:sz w:val="22"/>
          <w:szCs w:val="21"/>
        </w:rPr>
      </w:pPr>
    </w:p>
    <w:p w:rsidR="009E385C" w:rsidRDefault="00F345C3">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9E385C" w:rsidRDefault="009E385C">
      <w:pPr>
        <w:spacing w:line="360" w:lineRule="auto"/>
        <w:rPr>
          <w:rFonts w:ascii="楷体" w:eastAsia="楷体" w:hAnsi="楷体" w:cs="Calibri"/>
          <w:sz w:val="22"/>
          <w:szCs w:val="21"/>
        </w:rPr>
      </w:pPr>
    </w:p>
    <w:p w:rsidR="009E385C" w:rsidRDefault="00F345C3">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9E385C" w:rsidRDefault="009E385C">
      <w:pPr>
        <w:spacing w:line="360" w:lineRule="auto"/>
        <w:rPr>
          <w:rFonts w:ascii="楷体" w:eastAsia="楷体" w:hAnsi="楷体" w:cs="Calibri"/>
          <w:sz w:val="22"/>
          <w:szCs w:val="21"/>
        </w:rPr>
      </w:pPr>
    </w:p>
    <w:p w:rsidR="009E385C" w:rsidRDefault="00F345C3">
      <w:pPr>
        <w:spacing w:line="360" w:lineRule="auto"/>
        <w:jc w:val="left"/>
        <w:rPr>
          <w:rFonts w:ascii="Calibri" w:hAnsi="Calibri" w:cs="Calibri"/>
          <w:szCs w:val="21"/>
        </w:rPr>
      </w:pPr>
      <w:r>
        <w:rPr>
          <w:rFonts w:ascii="楷体" w:eastAsia="楷体" w:hAnsi="楷体" w:cs="Calibri" w:hint="eastAsia"/>
          <w:sz w:val="22"/>
          <w:szCs w:val="21"/>
        </w:rPr>
        <w:t>日期:                                       日期：</w:t>
      </w:r>
    </w:p>
    <w:p w:rsidR="009E385C" w:rsidRDefault="009E385C">
      <w:pPr>
        <w:pStyle w:val="ae"/>
        <w:widowControl w:val="0"/>
        <w:spacing w:line="360" w:lineRule="auto"/>
        <w:rPr>
          <w:kern w:val="2"/>
          <w:sz w:val="21"/>
          <w:szCs w:val="21"/>
        </w:rPr>
      </w:pPr>
    </w:p>
    <w:p w:rsidR="009E385C" w:rsidRDefault="009E385C">
      <w:pPr>
        <w:pStyle w:val="ae"/>
        <w:widowControl w:val="0"/>
        <w:spacing w:line="360" w:lineRule="auto"/>
        <w:rPr>
          <w:kern w:val="2"/>
          <w:sz w:val="21"/>
          <w:szCs w:val="21"/>
        </w:rPr>
      </w:pPr>
    </w:p>
    <w:p w:rsidR="009E385C" w:rsidRDefault="00F345C3">
      <w:pPr>
        <w:pStyle w:val="ae"/>
        <w:widowControl w:val="0"/>
        <w:spacing w:line="360" w:lineRule="auto"/>
        <w:rPr>
          <w:rFonts w:ascii="Times New Roman"/>
          <w:bCs/>
          <w:color w:val="000000"/>
          <w:kern w:val="2"/>
          <w:sz w:val="21"/>
          <w:szCs w:val="21"/>
        </w:rPr>
      </w:pPr>
      <w:r>
        <w:rPr>
          <w:rFonts w:hint="eastAsia"/>
          <w:kern w:val="2"/>
          <w:sz w:val="21"/>
          <w:szCs w:val="21"/>
        </w:rPr>
        <w:t>项目廉政责任书</w:t>
      </w:r>
    </w:p>
    <w:p w:rsidR="009E385C" w:rsidRDefault="00F345C3">
      <w:pPr>
        <w:spacing w:line="360" w:lineRule="auto"/>
        <w:ind w:leftChars="-85" w:left="-178" w:firstLine="480"/>
        <w:rPr>
          <w:rFonts w:ascii="宋体" w:hAnsi="宋体"/>
          <w:szCs w:val="21"/>
          <w:u w:val="single"/>
        </w:rPr>
      </w:pPr>
      <w:r>
        <w:rPr>
          <w:rFonts w:ascii="宋体" w:hAnsi="宋体" w:hint="eastAsia"/>
          <w:szCs w:val="21"/>
        </w:rPr>
        <w:t>项目名称：</w:t>
      </w:r>
    </w:p>
    <w:p w:rsidR="009E385C" w:rsidRDefault="00F345C3">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9E385C" w:rsidRDefault="00F345C3">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9E385C" w:rsidRDefault="00F345C3">
      <w:pPr>
        <w:spacing w:line="360" w:lineRule="auto"/>
        <w:ind w:leftChars="-85" w:left="-178" w:firstLine="480"/>
        <w:rPr>
          <w:rFonts w:ascii="宋体" w:hAnsi="宋体"/>
          <w:szCs w:val="21"/>
          <w:u w:val="single"/>
        </w:rPr>
      </w:pPr>
      <w:r>
        <w:rPr>
          <w:rFonts w:ascii="宋体" w:hAnsi="宋体" w:hint="eastAsia"/>
          <w:szCs w:val="21"/>
        </w:rPr>
        <w:t>乙    方：</w:t>
      </w:r>
    </w:p>
    <w:p w:rsidR="009E385C" w:rsidRDefault="00F345C3">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9E385C" w:rsidRDefault="00F345C3">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9E385C" w:rsidRDefault="00F345C3">
      <w:pPr>
        <w:spacing w:line="360" w:lineRule="auto"/>
        <w:rPr>
          <w:rFonts w:ascii="宋体" w:hAnsi="宋体"/>
          <w:szCs w:val="21"/>
        </w:rPr>
      </w:pPr>
      <w:r>
        <w:rPr>
          <w:rFonts w:ascii="宋体" w:hAnsi="宋体" w:hint="eastAsia"/>
          <w:szCs w:val="21"/>
        </w:rPr>
        <w:t xml:space="preserve">　　(二)　严格执行项目合同文件，自觉按合同办事。</w:t>
      </w:r>
    </w:p>
    <w:p w:rsidR="009E385C" w:rsidRDefault="00F345C3">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9E385C" w:rsidRDefault="00F345C3">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9E385C" w:rsidRDefault="00F345C3">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9E385C" w:rsidRDefault="00F345C3">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9E385C" w:rsidRDefault="00F345C3">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9E385C" w:rsidRDefault="00F345C3">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9E385C" w:rsidRDefault="00F345C3">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9E385C" w:rsidRDefault="00F345C3">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9E385C" w:rsidRDefault="00F345C3">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9E385C" w:rsidRDefault="00F345C3">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9E385C" w:rsidRDefault="00F345C3">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9E385C" w:rsidRDefault="00F345C3">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9E385C" w:rsidRDefault="00F345C3">
      <w:pPr>
        <w:spacing w:line="360" w:lineRule="auto"/>
        <w:rPr>
          <w:rFonts w:ascii="宋体" w:hAnsi="宋体"/>
          <w:szCs w:val="21"/>
        </w:rPr>
      </w:pPr>
      <w:r>
        <w:rPr>
          <w:rFonts w:ascii="宋体" w:hAnsi="宋体" w:hint="eastAsia"/>
          <w:szCs w:val="21"/>
        </w:rPr>
        <w:lastRenderedPageBreak/>
        <w:t xml:space="preserve">　　(二)　不准以任何理由为甲方和相关单位报销应由对方或个人支付的费用。</w:t>
      </w:r>
    </w:p>
    <w:p w:rsidR="009E385C" w:rsidRDefault="00F345C3">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9E385C" w:rsidRDefault="00F345C3">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9E385C" w:rsidRDefault="00F345C3">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9E385C" w:rsidRDefault="00F345C3">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9E385C" w:rsidRDefault="00F345C3">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9E385C" w:rsidRDefault="00F345C3">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9E385C" w:rsidRDefault="00F345C3">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9E385C" w:rsidRDefault="00F345C3">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9E385C" w:rsidRDefault="009E385C">
      <w:pPr>
        <w:adjustRightInd w:val="0"/>
        <w:snapToGrid w:val="0"/>
        <w:spacing w:line="360" w:lineRule="auto"/>
        <w:ind w:left="620"/>
        <w:rPr>
          <w:rFonts w:ascii="宋体" w:hAnsi="宋体"/>
          <w:szCs w:val="21"/>
        </w:rPr>
      </w:pPr>
    </w:p>
    <w:p w:rsidR="009E385C" w:rsidRDefault="00F345C3">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9E385C" w:rsidRDefault="00F345C3">
      <w:pPr>
        <w:adjustRightInd w:val="0"/>
        <w:snapToGrid w:val="0"/>
        <w:spacing w:line="360" w:lineRule="auto"/>
        <w:rPr>
          <w:rFonts w:ascii="宋体" w:hAnsi="宋体"/>
          <w:szCs w:val="21"/>
        </w:rPr>
      </w:pPr>
      <w:r>
        <w:rPr>
          <w:rFonts w:ascii="宋体" w:hAnsi="宋体" w:hint="eastAsia"/>
          <w:szCs w:val="21"/>
        </w:rPr>
        <w:t xml:space="preserve">　　　 　　　                           </w:t>
      </w:r>
    </w:p>
    <w:p w:rsidR="009E385C" w:rsidRDefault="00F345C3">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9E385C" w:rsidRDefault="009E385C">
      <w:pPr>
        <w:adjustRightInd w:val="0"/>
        <w:snapToGrid w:val="0"/>
        <w:spacing w:line="360" w:lineRule="auto"/>
        <w:ind w:leftChars="-1" w:left="-2"/>
        <w:rPr>
          <w:rFonts w:ascii="宋体" w:hAnsi="宋体"/>
          <w:szCs w:val="21"/>
        </w:rPr>
      </w:pPr>
    </w:p>
    <w:p w:rsidR="009E385C" w:rsidRDefault="00F345C3">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9E385C" w:rsidRDefault="009E385C">
      <w:pPr>
        <w:spacing w:line="360" w:lineRule="auto"/>
        <w:ind w:firstLineChars="200" w:firstLine="420"/>
        <w:rPr>
          <w:szCs w:val="21"/>
        </w:rPr>
      </w:pPr>
    </w:p>
    <w:p w:rsidR="009E385C" w:rsidRDefault="00F345C3">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9E385C" w:rsidRDefault="00F345C3">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9E385C" w:rsidRDefault="009E385C" w:rsidP="005F0A28">
      <w:pPr>
        <w:widowControl/>
        <w:spacing w:beforeLines="50" w:line="360" w:lineRule="auto"/>
        <w:jc w:val="left"/>
        <w:rPr>
          <w:rFonts w:ascii="宋体" w:hAnsi="宋体"/>
          <w:szCs w:val="21"/>
        </w:rPr>
      </w:pPr>
    </w:p>
    <w:p w:rsidR="009E385C" w:rsidRDefault="009E385C">
      <w:pPr>
        <w:spacing w:line="360" w:lineRule="auto"/>
      </w:pPr>
    </w:p>
    <w:p w:rsidR="009E385C" w:rsidRDefault="009E385C">
      <w:pPr>
        <w:spacing w:line="360" w:lineRule="auto"/>
      </w:pPr>
    </w:p>
    <w:p w:rsidR="009E385C" w:rsidRDefault="009E385C">
      <w:pPr>
        <w:spacing w:line="360" w:lineRule="auto"/>
      </w:pPr>
    </w:p>
    <w:sectPr w:rsidR="009E385C" w:rsidSect="009E385C">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54EC" w:rsidRDefault="009F54EC" w:rsidP="009E385C">
      <w:r>
        <w:separator/>
      </w:r>
    </w:p>
  </w:endnote>
  <w:endnote w:type="continuationSeparator" w:id="1">
    <w:p w:rsidR="009F54EC" w:rsidRDefault="009F54EC" w:rsidP="009E38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54EC" w:rsidRDefault="009F54EC" w:rsidP="009E385C">
      <w:r>
        <w:separator/>
      </w:r>
    </w:p>
  </w:footnote>
  <w:footnote w:type="continuationSeparator" w:id="1">
    <w:p w:rsidR="009F54EC" w:rsidRDefault="009F54EC" w:rsidP="009E38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85C" w:rsidRDefault="009E385C">
    <w:pPr>
      <w:pStyle w:val="a7"/>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C5BFD57"/>
    <w:multiLevelType w:val="multilevel"/>
    <w:tmpl w:val="DC5BFD57"/>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72500"/>
    <w:rsid w:val="0008260E"/>
    <w:rsid w:val="000A318B"/>
    <w:rsid w:val="000A5F96"/>
    <w:rsid w:val="0011434E"/>
    <w:rsid w:val="00136643"/>
    <w:rsid w:val="00160C78"/>
    <w:rsid w:val="001B7EC7"/>
    <w:rsid w:val="001E3B20"/>
    <w:rsid w:val="001E7946"/>
    <w:rsid w:val="00237F32"/>
    <w:rsid w:val="00286EE4"/>
    <w:rsid w:val="00312575"/>
    <w:rsid w:val="00320865"/>
    <w:rsid w:val="00324388"/>
    <w:rsid w:val="00325C43"/>
    <w:rsid w:val="00340E0D"/>
    <w:rsid w:val="0036640D"/>
    <w:rsid w:val="0040251F"/>
    <w:rsid w:val="0043201F"/>
    <w:rsid w:val="0044060A"/>
    <w:rsid w:val="00443F7E"/>
    <w:rsid w:val="004A6557"/>
    <w:rsid w:val="00567ECA"/>
    <w:rsid w:val="00576098"/>
    <w:rsid w:val="005C2BE8"/>
    <w:rsid w:val="005E25A3"/>
    <w:rsid w:val="005F0A28"/>
    <w:rsid w:val="005F3F10"/>
    <w:rsid w:val="00610BEE"/>
    <w:rsid w:val="006B7358"/>
    <w:rsid w:val="007319C8"/>
    <w:rsid w:val="00791AED"/>
    <w:rsid w:val="0079680C"/>
    <w:rsid w:val="00870552"/>
    <w:rsid w:val="008C3B4C"/>
    <w:rsid w:val="00951DAC"/>
    <w:rsid w:val="00967FCB"/>
    <w:rsid w:val="009E385C"/>
    <w:rsid w:val="009F4BD9"/>
    <w:rsid w:val="009F54EC"/>
    <w:rsid w:val="00A04893"/>
    <w:rsid w:val="00A839F6"/>
    <w:rsid w:val="00A865A4"/>
    <w:rsid w:val="00A93B2C"/>
    <w:rsid w:val="00AB3B17"/>
    <w:rsid w:val="00AD0F1C"/>
    <w:rsid w:val="00AF4B2B"/>
    <w:rsid w:val="00B42E4F"/>
    <w:rsid w:val="00B73BAF"/>
    <w:rsid w:val="00BA67B2"/>
    <w:rsid w:val="00BF0EAC"/>
    <w:rsid w:val="00C62B3D"/>
    <w:rsid w:val="00CD3833"/>
    <w:rsid w:val="00D924EC"/>
    <w:rsid w:val="00E13887"/>
    <w:rsid w:val="00E50330"/>
    <w:rsid w:val="00EB3A5C"/>
    <w:rsid w:val="00EC41A0"/>
    <w:rsid w:val="00ED7DE1"/>
    <w:rsid w:val="00F345C3"/>
    <w:rsid w:val="00F43BA9"/>
    <w:rsid w:val="00F73647"/>
    <w:rsid w:val="00F8513D"/>
    <w:rsid w:val="00F85B30"/>
    <w:rsid w:val="00FD0BAD"/>
    <w:rsid w:val="00FF065B"/>
    <w:rsid w:val="00FF65E6"/>
    <w:rsid w:val="013D63CF"/>
    <w:rsid w:val="02335A02"/>
    <w:rsid w:val="0A257DE7"/>
    <w:rsid w:val="11DC20E9"/>
    <w:rsid w:val="1543676F"/>
    <w:rsid w:val="1AB32B0F"/>
    <w:rsid w:val="1DB4365C"/>
    <w:rsid w:val="220A5BBB"/>
    <w:rsid w:val="243E2BD4"/>
    <w:rsid w:val="282B1DB0"/>
    <w:rsid w:val="41391F47"/>
    <w:rsid w:val="519805C3"/>
    <w:rsid w:val="55CF39F8"/>
    <w:rsid w:val="55D05DD8"/>
    <w:rsid w:val="5BA71436"/>
    <w:rsid w:val="626F711E"/>
    <w:rsid w:val="6AFA7C01"/>
    <w:rsid w:val="6F7508D7"/>
    <w:rsid w:val="767D53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Strong" w:semiHidden="0" w:uiPriority="0"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E385C"/>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9E385C"/>
    <w:pPr>
      <w:keepNext/>
      <w:keepLines/>
      <w:spacing w:before="120" w:after="120"/>
      <w:jc w:val="center"/>
      <w:outlineLvl w:val="0"/>
    </w:pPr>
    <w:rPr>
      <w:b/>
      <w:kern w:val="44"/>
      <w:sz w:val="44"/>
    </w:rPr>
  </w:style>
  <w:style w:type="paragraph" w:styleId="5">
    <w:name w:val="heading 5"/>
    <w:basedOn w:val="a0"/>
    <w:next w:val="a0"/>
    <w:semiHidden/>
    <w:unhideWhenUsed/>
    <w:qFormat/>
    <w:rsid w:val="009E385C"/>
    <w:pPr>
      <w:spacing w:beforeAutospacing="1" w:afterAutospacing="1"/>
      <w:jc w:val="left"/>
      <w:outlineLvl w:val="4"/>
    </w:pPr>
    <w:rPr>
      <w:rFonts w:ascii="宋体" w:hAnsi="宋体" w:hint="eastAsia"/>
      <w:b/>
      <w:bCs/>
      <w:kern w:val="0"/>
      <w:sz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9E385C"/>
    <w:pPr>
      <w:jc w:val="left"/>
    </w:pPr>
  </w:style>
  <w:style w:type="paragraph" w:styleId="a5">
    <w:name w:val="Balloon Text"/>
    <w:basedOn w:val="a0"/>
    <w:link w:val="Char0"/>
    <w:uiPriority w:val="99"/>
    <w:semiHidden/>
    <w:unhideWhenUsed/>
    <w:qFormat/>
    <w:rsid w:val="009E385C"/>
    <w:rPr>
      <w:sz w:val="18"/>
      <w:szCs w:val="18"/>
    </w:rPr>
  </w:style>
  <w:style w:type="paragraph" w:styleId="a6">
    <w:name w:val="footer"/>
    <w:basedOn w:val="a0"/>
    <w:link w:val="Char1"/>
    <w:uiPriority w:val="99"/>
    <w:qFormat/>
    <w:rsid w:val="009E385C"/>
    <w:pPr>
      <w:tabs>
        <w:tab w:val="center" w:pos="4153"/>
        <w:tab w:val="right" w:pos="8306"/>
      </w:tabs>
      <w:snapToGrid w:val="0"/>
      <w:jc w:val="left"/>
    </w:pPr>
    <w:rPr>
      <w:sz w:val="18"/>
      <w:szCs w:val="18"/>
    </w:rPr>
  </w:style>
  <w:style w:type="paragraph" w:styleId="a7">
    <w:name w:val="header"/>
    <w:basedOn w:val="a0"/>
    <w:link w:val="Char2"/>
    <w:uiPriority w:val="99"/>
    <w:qFormat/>
    <w:rsid w:val="009E385C"/>
    <w:pPr>
      <w:tabs>
        <w:tab w:val="center" w:pos="4153"/>
        <w:tab w:val="right" w:pos="8306"/>
      </w:tabs>
      <w:snapToGrid w:val="0"/>
      <w:jc w:val="center"/>
    </w:pPr>
    <w:rPr>
      <w:sz w:val="18"/>
      <w:szCs w:val="18"/>
    </w:rPr>
  </w:style>
  <w:style w:type="paragraph" w:styleId="2">
    <w:name w:val="Body Text 2"/>
    <w:basedOn w:val="a0"/>
    <w:link w:val="2Char"/>
    <w:qFormat/>
    <w:rsid w:val="009E385C"/>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9E38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8">
    <w:name w:val="annotation subject"/>
    <w:basedOn w:val="a4"/>
    <w:next w:val="a4"/>
    <w:link w:val="Char3"/>
    <w:uiPriority w:val="99"/>
    <w:semiHidden/>
    <w:unhideWhenUsed/>
    <w:qFormat/>
    <w:rsid w:val="009E385C"/>
    <w:rPr>
      <w:b/>
      <w:bCs/>
    </w:rPr>
  </w:style>
  <w:style w:type="table" w:styleId="a9">
    <w:name w:val="Table Grid"/>
    <w:basedOn w:val="a2"/>
    <w:qFormat/>
    <w:rsid w:val="009E385C"/>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1"/>
    <w:qFormat/>
    <w:rsid w:val="009E385C"/>
    <w:rPr>
      <w:b/>
    </w:rPr>
  </w:style>
  <w:style w:type="character" w:styleId="ab">
    <w:name w:val="Emphasis"/>
    <w:qFormat/>
    <w:rsid w:val="009E385C"/>
    <w:rPr>
      <w:rFonts w:ascii="Verdana" w:hAnsi="Verdana" w:cs="Verdana" w:hint="default"/>
      <w:i/>
      <w:color w:val="273337"/>
      <w:sz w:val="18"/>
      <w:szCs w:val="18"/>
    </w:rPr>
  </w:style>
  <w:style w:type="character" w:styleId="ac">
    <w:name w:val="annotation reference"/>
    <w:basedOn w:val="a1"/>
    <w:uiPriority w:val="99"/>
    <w:semiHidden/>
    <w:unhideWhenUsed/>
    <w:qFormat/>
    <w:rsid w:val="009E385C"/>
    <w:rPr>
      <w:sz w:val="21"/>
      <w:szCs w:val="21"/>
    </w:rPr>
  </w:style>
  <w:style w:type="character" w:customStyle="1" w:styleId="1Char">
    <w:name w:val="标题 1 Char"/>
    <w:basedOn w:val="a1"/>
    <w:link w:val="1"/>
    <w:qFormat/>
    <w:rsid w:val="009E385C"/>
    <w:rPr>
      <w:rFonts w:ascii="Times New Roman" w:eastAsia="宋体" w:hAnsi="Times New Roman" w:cs="Times New Roman"/>
      <w:b/>
      <w:kern w:val="44"/>
      <w:sz w:val="44"/>
      <w:szCs w:val="20"/>
    </w:rPr>
  </w:style>
  <w:style w:type="character" w:customStyle="1" w:styleId="Char2">
    <w:name w:val="页眉 Char"/>
    <w:basedOn w:val="a1"/>
    <w:link w:val="a7"/>
    <w:uiPriority w:val="99"/>
    <w:qFormat/>
    <w:rsid w:val="009E385C"/>
    <w:rPr>
      <w:rFonts w:ascii="Times New Roman" w:eastAsia="宋体" w:hAnsi="Times New Roman" w:cs="Times New Roman"/>
      <w:sz w:val="18"/>
      <w:szCs w:val="18"/>
    </w:rPr>
  </w:style>
  <w:style w:type="paragraph" w:styleId="ad">
    <w:name w:val="List Paragraph"/>
    <w:basedOn w:val="a0"/>
    <w:link w:val="Char4"/>
    <w:uiPriority w:val="34"/>
    <w:qFormat/>
    <w:rsid w:val="009E385C"/>
    <w:pPr>
      <w:ind w:firstLineChars="200" w:firstLine="420"/>
    </w:pPr>
  </w:style>
  <w:style w:type="paragraph" w:customStyle="1" w:styleId="ae">
    <w:name w:val="目录"/>
    <w:basedOn w:val="a0"/>
    <w:qFormat/>
    <w:rsid w:val="009E385C"/>
    <w:pPr>
      <w:widowControl/>
      <w:jc w:val="center"/>
    </w:pPr>
    <w:rPr>
      <w:rFonts w:ascii="宋体"/>
      <w:b/>
      <w:kern w:val="0"/>
      <w:sz w:val="36"/>
    </w:rPr>
  </w:style>
  <w:style w:type="paragraph" w:customStyle="1" w:styleId="310">
    <w:name w:val="样式 3 10 磅"/>
    <w:qFormat/>
    <w:rsid w:val="009E385C"/>
    <w:pPr>
      <w:widowControl w:val="0"/>
      <w:jc w:val="both"/>
    </w:pPr>
    <w:rPr>
      <w:rFonts w:cs="Arial"/>
      <w:kern w:val="2"/>
      <w:sz w:val="21"/>
      <w:szCs w:val="24"/>
    </w:rPr>
  </w:style>
  <w:style w:type="character" w:customStyle="1" w:styleId="Char4">
    <w:name w:val="列出段落 Char"/>
    <w:link w:val="ad"/>
    <w:uiPriority w:val="34"/>
    <w:qFormat/>
    <w:rsid w:val="009E385C"/>
    <w:rPr>
      <w:rFonts w:ascii="Times New Roman" w:eastAsia="宋体" w:hAnsi="Times New Roman" w:cs="Times New Roman"/>
      <w:szCs w:val="20"/>
    </w:rPr>
  </w:style>
  <w:style w:type="table" w:customStyle="1" w:styleId="TableGrid">
    <w:name w:val="TableGrid"/>
    <w:qFormat/>
    <w:rsid w:val="009E385C"/>
    <w:rPr>
      <w:sz w:val="22"/>
      <w:lang w:eastAsia="en-US"/>
    </w:rPr>
    <w:tblPr>
      <w:tblCellMar>
        <w:top w:w="0" w:type="dxa"/>
        <w:left w:w="0" w:type="dxa"/>
        <w:bottom w:w="0" w:type="dxa"/>
        <w:right w:w="0" w:type="dxa"/>
      </w:tblCellMar>
    </w:tblPr>
  </w:style>
  <w:style w:type="character" w:customStyle="1" w:styleId="Char1">
    <w:name w:val="页脚 Char"/>
    <w:basedOn w:val="a1"/>
    <w:link w:val="a6"/>
    <w:uiPriority w:val="99"/>
    <w:qFormat/>
    <w:rsid w:val="009E385C"/>
    <w:rPr>
      <w:rFonts w:ascii="Times New Roman" w:eastAsia="宋体" w:hAnsi="Times New Roman" w:cs="Times New Roman"/>
      <w:sz w:val="18"/>
      <w:szCs w:val="18"/>
    </w:rPr>
  </w:style>
  <w:style w:type="paragraph" w:customStyle="1" w:styleId="af">
    <w:name w:val="标准正文"/>
    <w:basedOn w:val="a0"/>
    <w:qFormat/>
    <w:rsid w:val="009E385C"/>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9E385C"/>
    <w:rPr>
      <w:rFonts w:ascii="Calibri" w:eastAsia="宋体" w:hAnsi="Calibri" w:cs="Times New Roman"/>
      <w:kern w:val="0"/>
      <w:sz w:val="24"/>
      <w:szCs w:val="24"/>
      <w:lang w:eastAsia="en-US" w:bidi="en-US"/>
    </w:rPr>
  </w:style>
  <w:style w:type="paragraph" w:customStyle="1" w:styleId="10">
    <w:name w:val="列出段落1"/>
    <w:basedOn w:val="a0"/>
    <w:qFormat/>
    <w:rsid w:val="009E385C"/>
    <w:pPr>
      <w:ind w:firstLineChars="200" w:firstLine="420"/>
    </w:pPr>
    <w:rPr>
      <w:szCs w:val="24"/>
    </w:rPr>
  </w:style>
  <w:style w:type="paragraph" w:customStyle="1" w:styleId="11">
    <w:name w:val="无间隔1"/>
    <w:qFormat/>
    <w:rsid w:val="009E385C"/>
    <w:pPr>
      <w:widowControl w:val="0"/>
      <w:jc w:val="both"/>
    </w:pPr>
    <w:rPr>
      <w:rFonts w:ascii="Times New Roman" w:hAnsi="Times New Roman" w:cs="Times New Roman"/>
      <w:kern w:val="2"/>
      <w:sz w:val="21"/>
      <w:szCs w:val="24"/>
    </w:rPr>
  </w:style>
  <w:style w:type="paragraph" w:customStyle="1" w:styleId="a">
    <w:name w:val="正文 + 华文中宋"/>
    <w:basedOn w:val="a0"/>
    <w:qFormat/>
    <w:rsid w:val="009E385C"/>
    <w:pPr>
      <w:numPr>
        <w:numId w:val="1"/>
      </w:numPr>
    </w:pPr>
    <w:rPr>
      <w:sz w:val="24"/>
      <w:szCs w:val="24"/>
    </w:rPr>
  </w:style>
  <w:style w:type="paragraph" w:customStyle="1" w:styleId="af0">
    <w:name w:val="正文段落样式"/>
    <w:basedOn w:val="a0"/>
    <w:qFormat/>
    <w:rsid w:val="009E385C"/>
    <w:pPr>
      <w:spacing w:after="120" w:line="360" w:lineRule="auto"/>
      <w:ind w:firstLineChars="257" w:firstLine="514"/>
    </w:pPr>
    <w:rPr>
      <w:rFonts w:cs="宋体"/>
      <w:bCs/>
      <w:sz w:val="20"/>
    </w:rPr>
  </w:style>
  <w:style w:type="paragraph" w:customStyle="1" w:styleId="af1">
    <w:name w:val="定义内容"/>
    <w:basedOn w:val="af0"/>
    <w:qFormat/>
    <w:rsid w:val="009E385C"/>
    <w:rPr>
      <w:b/>
      <w:sz w:val="28"/>
    </w:rPr>
  </w:style>
  <w:style w:type="character" w:customStyle="1" w:styleId="HTMLChar">
    <w:name w:val="HTML 预设格式 Char"/>
    <w:basedOn w:val="a1"/>
    <w:link w:val="HTML"/>
    <w:uiPriority w:val="99"/>
    <w:qFormat/>
    <w:rsid w:val="009E385C"/>
    <w:rPr>
      <w:rFonts w:ascii="宋体" w:hAnsi="宋体"/>
      <w:kern w:val="0"/>
      <w:sz w:val="24"/>
      <w:szCs w:val="24"/>
    </w:rPr>
  </w:style>
  <w:style w:type="character" w:customStyle="1" w:styleId="Char">
    <w:name w:val="批注文字 Char"/>
    <w:basedOn w:val="a1"/>
    <w:link w:val="a4"/>
    <w:uiPriority w:val="99"/>
    <w:qFormat/>
    <w:rsid w:val="009E385C"/>
    <w:rPr>
      <w:rFonts w:ascii="Times New Roman" w:hAnsi="Times New Roman" w:cs="Times New Roman"/>
      <w:szCs w:val="20"/>
    </w:rPr>
  </w:style>
  <w:style w:type="character" w:customStyle="1" w:styleId="Char3">
    <w:name w:val="批注主题 Char"/>
    <w:basedOn w:val="Char"/>
    <w:link w:val="a8"/>
    <w:uiPriority w:val="99"/>
    <w:semiHidden/>
    <w:qFormat/>
    <w:rsid w:val="009E385C"/>
    <w:rPr>
      <w:rFonts w:ascii="Times New Roman" w:hAnsi="Times New Roman" w:cs="Times New Roman"/>
      <w:b/>
      <w:bCs/>
      <w:szCs w:val="20"/>
    </w:rPr>
  </w:style>
  <w:style w:type="paragraph" w:customStyle="1" w:styleId="12">
    <w:name w:val="修订1"/>
    <w:hidden/>
    <w:uiPriority w:val="99"/>
    <w:semiHidden/>
    <w:qFormat/>
    <w:rsid w:val="009E385C"/>
    <w:rPr>
      <w:rFonts w:ascii="Times New Roman" w:hAnsi="Times New Roman" w:cs="Times New Roman"/>
      <w:kern w:val="2"/>
      <w:sz w:val="21"/>
    </w:rPr>
  </w:style>
  <w:style w:type="character" w:customStyle="1" w:styleId="Char0">
    <w:name w:val="批注框文本 Char"/>
    <w:basedOn w:val="a1"/>
    <w:link w:val="a5"/>
    <w:uiPriority w:val="99"/>
    <w:semiHidden/>
    <w:qFormat/>
    <w:rsid w:val="009E385C"/>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10.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1.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2.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3.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14.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5.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6.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2.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3.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4.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5.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6.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7.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8.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9.xml><?xml version="1.0" encoding="utf-8"?>
<ds:datastoreItem xmlns:ds="http://schemas.openxmlformats.org/officeDocument/2006/customXml" ds:itemID="{9A25C4FD-B014-4A5F-A6FE-2346736965CA}">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12</Pages>
  <Words>1259</Words>
  <Characters>7178</Characters>
  <Application>Microsoft Office Word</Application>
  <DocSecurity>0</DocSecurity>
  <Lines>59</Lines>
  <Paragraphs>16</Paragraphs>
  <ScaleCrop>false</ScaleCrop>
  <Company>Microsoft</Company>
  <LinksUpToDate>false</LinksUpToDate>
  <CharactersWithSpaces>8421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25</cp:revision>
  <dcterms:created xsi:type="dcterms:W3CDTF">2025-11-04T08:22:00Z</dcterms:created>
  <dcterms:modified xsi:type="dcterms:W3CDTF">2025-12-17T05:25:00Z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E0CF717D277C4289A50F76EC4A205553_13</vt:lpwstr>
  </property>
  <property fmtid="{D5CDD505-2E9C-101B-9397-08002B2CF9AE}" pid="3" name="KSOTemplateDocerSaveRecord">
    <vt:lpwstr>eyJoZGlkIjoiY2RlZWM0MjQyMGYzYmU0MTk5OTk1Y2VlMWMzNmFkMmIiLCJ1c2VySWQiOiI0MzMxOTg0MzUifQ==</vt:lpwstr>
  </property>
  <property fmtid="{D5CDD505-2E9C-101B-9397-08002B2CF9AE}" pid="4" name="KSOProductBuildVer">
    <vt:lpwstr>2052-12.1.0.23542</vt:lpwstr>
  </property>
</Properties>
</file>