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085" w:rsidRPr="00C3020F" w:rsidRDefault="007E3033">
      <w:pPr>
        <w:jc w:val="left"/>
        <w:rPr>
          <w:rFonts w:ascii="宋体" w:eastAsia="宋体" w:hAnsi="宋体"/>
          <w:b/>
          <w:sz w:val="28"/>
          <w:szCs w:val="28"/>
        </w:rPr>
      </w:pPr>
      <w:r>
        <w:rPr>
          <w:rFonts w:ascii="宋体" w:eastAsia="宋体" w:hAnsi="宋体" w:hint="eastAsia"/>
          <w:b/>
          <w:sz w:val="28"/>
          <w:szCs w:val="28"/>
        </w:rPr>
        <w:t>北京大学人民医院</w:t>
      </w:r>
      <w:bookmarkStart w:id="0" w:name="_Hlk167918209"/>
      <w:r w:rsidR="00C27118">
        <w:rPr>
          <w:rFonts w:ascii="宋体" w:eastAsia="宋体" w:hAnsi="宋体" w:hint="eastAsia"/>
          <w:b/>
          <w:sz w:val="28"/>
          <w:szCs w:val="28"/>
        </w:rPr>
        <w:t>医技楼9层改造钢质气密门等采购项目</w:t>
      </w:r>
      <w:r w:rsidR="00F01FFA">
        <w:rPr>
          <w:rFonts w:ascii="宋体" w:eastAsia="宋体" w:hAnsi="宋体" w:hint="eastAsia"/>
          <w:b/>
          <w:bCs/>
          <w:sz w:val="28"/>
          <w:szCs w:val="28"/>
        </w:rPr>
        <w:t>比选</w:t>
      </w:r>
      <w:r>
        <w:rPr>
          <w:rFonts w:ascii="宋体" w:eastAsia="宋体" w:hAnsi="宋体" w:hint="eastAsia"/>
          <w:b/>
          <w:sz w:val="28"/>
          <w:szCs w:val="28"/>
        </w:rPr>
        <w:t>文件</w:t>
      </w:r>
    </w:p>
    <w:p w:rsidR="00A62085" w:rsidRDefault="00A62085">
      <w:pPr>
        <w:jc w:val="left"/>
        <w:rPr>
          <w:rFonts w:ascii="宋体" w:eastAsia="宋体" w:hAnsi="宋体"/>
          <w:b/>
          <w:sz w:val="24"/>
          <w:szCs w:val="24"/>
        </w:rPr>
      </w:pPr>
    </w:p>
    <w:p w:rsidR="00A62085" w:rsidRDefault="007E3033">
      <w:pPr>
        <w:jc w:val="left"/>
        <w:rPr>
          <w:rFonts w:ascii="宋体" w:eastAsia="宋体" w:hAnsi="宋体"/>
          <w:b/>
          <w:sz w:val="24"/>
          <w:szCs w:val="24"/>
        </w:rPr>
      </w:pPr>
      <w:r>
        <w:rPr>
          <w:rFonts w:ascii="宋体" w:eastAsia="宋体" w:hAnsi="宋体" w:hint="eastAsia"/>
          <w:b/>
          <w:sz w:val="24"/>
          <w:szCs w:val="24"/>
        </w:rPr>
        <w:t>一、</w:t>
      </w:r>
      <w:r w:rsidR="00F01FFA">
        <w:rPr>
          <w:rFonts w:ascii="宋体" w:eastAsia="宋体" w:hAnsi="宋体" w:hint="eastAsia"/>
          <w:b/>
          <w:sz w:val="24"/>
          <w:szCs w:val="24"/>
        </w:rPr>
        <w:t>比选</w:t>
      </w:r>
      <w:r>
        <w:rPr>
          <w:rFonts w:ascii="宋体" w:eastAsia="宋体" w:hAnsi="宋体" w:hint="eastAsia"/>
          <w:b/>
          <w:sz w:val="24"/>
          <w:szCs w:val="24"/>
        </w:rPr>
        <w:t>公告</w:t>
      </w:r>
    </w:p>
    <w:p w:rsidR="008A548F" w:rsidRDefault="007E3033">
      <w:pPr>
        <w:ind w:firstLineChars="200" w:firstLine="420"/>
        <w:jc w:val="left"/>
        <w:rPr>
          <w:rFonts w:ascii="宋体" w:eastAsia="宋体" w:hAnsi="宋体"/>
          <w:szCs w:val="21"/>
        </w:rPr>
      </w:pPr>
      <w:r>
        <w:rPr>
          <w:rFonts w:ascii="宋体" w:eastAsia="宋体" w:hAnsi="宋体" w:hint="eastAsia"/>
          <w:szCs w:val="21"/>
        </w:rPr>
        <w:t>1、项目名称：</w:t>
      </w:r>
      <w:r w:rsidR="005D6C7E" w:rsidRPr="00443657">
        <w:rPr>
          <w:rFonts w:ascii="宋体" w:eastAsia="宋体" w:hAnsi="宋体" w:hint="eastAsia"/>
          <w:szCs w:val="21"/>
        </w:rPr>
        <w:t>医技楼9层改造钢质气密门等采购项目</w:t>
      </w:r>
    </w:p>
    <w:p w:rsidR="00F01FFA" w:rsidRDefault="007E3033">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8A548F">
        <w:rPr>
          <w:rFonts w:ascii="宋体" w:eastAsia="宋体" w:hAnsi="宋体" w:hint="eastAsia"/>
          <w:szCs w:val="21"/>
        </w:rPr>
        <w:t>我院</w:t>
      </w:r>
      <w:r w:rsidR="00E137C3">
        <w:rPr>
          <w:rFonts w:ascii="宋体" w:eastAsia="宋体" w:hAnsi="宋体" w:hint="eastAsia"/>
          <w:szCs w:val="21"/>
        </w:rPr>
        <w:t>拟采购</w:t>
      </w:r>
      <w:r w:rsidR="00443657">
        <w:rPr>
          <w:rFonts w:ascii="宋体" w:eastAsia="宋体" w:hAnsi="宋体" w:hint="eastAsia"/>
          <w:szCs w:val="21"/>
        </w:rPr>
        <w:t>医技楼9</w:t>
      </w:r>
      <w:r w:rsidR="00F01FFA" w:rsidRPr="00F01FFA">
        <w:rPr>
          <w:rFonts w:ascii="宋体" w:eastAsia="宋体" w:hAnsi="宋体" w:hint="eastAsia"/>
          <w:szCs w:val="21"/>
        </w:rPr>
        <w:t>层</w:t>
      </w:r>
      <w:r w:rsidR="00443657">
        <w:rPr>
          <w:rFonts w:ascii="宋体" w:eastAsia="宋体" w:hAnsi="宋体" w:hint="eastAsia"/>
          <w:szCs w:val="21"/>
        </w:rPr>
        <w:t>钢质、木质气密门、防火门一批</w:t>
      </w:r>
      <w:r w:rsidR="00F01FFA">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443657">
        <w:rPr>
          <w:rFonts w:ascii="宋体" w:eastAsia="宋体" w:hAnsi="宋体"/>
          <w:szCs w:val="21"/>
        </w:rPr>
        <w:t>8.8719</w:t>
      </w:r>
      <w:r>
        <w:rPr>
          <w:rFonts w:ascii="宋体" w:eastAsia="宋体" w:hAnsi="宋体" w:hint="eastAsia"/>
          <w:szCs w:val="21"/>
        </w:rPr>
        <w:t>万元</w:t>
      </w:r>
    </w:p>
    <w:p w:rsidR="00A62085" w:rsidRDefault="007E3033">
      <w:pPr>
        <w:ind w:firstLineChars="200" w:firstLine="420"/>
        <w:jc w:val="left"/>
        <w:rPr>
          <w:rFonts w:ascii="宋体" w:eastAsia="宋体" w:hAnsi="宋体"/>
          <w:szCs w:val="21"/>
        </w:rPr>
      </w:pPr>
      <w:r>
        <w:rPr>
          <w:rFonts w:ascii="宋体" w:eastAsia="宋体" w:hAnsi="宋体" w:hint="eastAsia"/>
          <w:szCs w:val="21"/>
        </w:rPr>
        <w:t>4、资金来源：财政性资金</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A62085" w:rsidRDefault="007E3033">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、质保期：不少于</w:t>
      </w:r>
      <w:r w:rsidR="00443657">
        <w:rPr>
          <w:rFonts w:ascii="宋体" w:eastAsia="宋体" w:hAnsi="宋体"/>
          <w:szCs w:val="21"/>
        </w:rPr>
        <w:t>1</w:t>
      </w:r>
      <w:r>
        <w:rPr>
          <w:rFonts w:ascii="宋体" w:eastAsia="宋体" w:hAnsi="宋体" w:hint="eastAsia"/>
          <w:szCs w:val="21"/>
        </w:rPr>
        <w:t>年</w:t>
      </w:r>
    </w:p>
    <w:p w:rsidR="00A62085" w:rsidRDefault="007E3033">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、投标文件所需资料：</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A62085" w:rsidRDefault="007E3033">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sidR="00C30AEB">
        <w:rPr>
          <w:rFonts w:ascii="宋体" w:eastAsia="宋体" w:hAnsi="宋体"/>
          <w:szCs w:val="21"/>
        </w:rPr>
        <w:t>22</w:t>
      </w:r>
      <w:r>
        <w:rPr>
          <w:rFonts w:ascii="宋体" w:eastAsia="宋体" w:hAnsi="宋体"/>
          <w:szCs w:val="21"/>
        </w:rPr>
        <w:t>年</w:t>
      </w:r>
      <w:r w:rsidR="00C30AEB">
        <w:rPr>
          <w:rFonts w:ascii="宋体" w:eastAsia="宋体" w:hAnsi="宋体"/>
          <w:szCs w:val="21"/>
        </w:rPr>
        <w:t>9</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tbl>
      <w:tblPr>
        <w:tblW w:w="8784" w:type="dxa"/>
        <w:tblLook w:val="04A0" w:firstRow="1" w:lastRow="0" w:firstColumn="1" w:lastColumn="0" w:noHBand="0" w:noVBand="1"/>
      </w:tblPr>
      <w:tblGrid>
        <w:gridCol w:w="988"/>
        <w:gridCol w:w="708"/>
        <w:gridCol w:w="709"/>
        <w:gridCol w:w="1701"/>
        <w:gridCol w:w="4678"/>
      </w:tblGrid>
      <w:tr w:rsidR="000F11BD" w:rsidRPr="000F11BD" w:rsidTr="008D1E5F">
        <w:trPr>
          <w:trHeight w:val="27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单位</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技术参数</w:t>
            </w:r>
          </w:p>
        </w:tc>
      </w:tr>
      <w:tr w:rsidR="00BC7477" w:rsidRPr="000F11BD" w:rsidTr="008D1E5F">
        <w:trPr>
          <w:trHeight w:val="289"/>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甲级防火门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kern w:val="0"/>
                <w:sz w:val="22"/>
              </w:rPr>
            </w:pPr>
            <w:r w:rsidRPr="000F11BD">
              <w:rPr>
                <w:rFonts w:ascii="宋体" w:eastAsia="宋体" w:hAnsi="宋体" w:cs="宋体" w:hint="eastAsia"/>
                <w:kern w:val="0"/>
                <w:sz w:val="22"/>
              </w:rPr>
              <w:t>材料厚度，mm</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门扇面板≥0.8</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门框板≥1.2</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铰链板≥3.0</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不带螺孔的加固件≥1.2</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proofErr w:type="gramStart"/>
            <w:r w:rsidRPr="000F11BD">
              <w:rPr>
                <w:rFonts w:ascii="宋体" w:eastAsia="宋体" w:hAnsi="宋体" w:cs="宋体" w:hint="eastAsia"/>
                <w:kern w:val="0"/>
                <w:sz w:val="22"/>
              </w:rPr>
              <w:t>带螺孔</w:t>
            </w:r>
            <w:proofErr w:type="gramEnd"/>
            <w:r w:rsidRPr="000F11BD">
              <w:rPr>
                <w:rFonts w:ascii="宋体" w:eastAsia="宋体" w:hAnsi="宋体" w:cs="宋体" w:hint="eastAsia"/>
                <w:kern w:val="0"/>
                <w:sz w:val="22"/>
              </w:rPr>
              <w:t>的加固件≥3.0</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kern w:val="0"/>
                <w:sz w:val="22"/>
              </w:rPr>
            </w:pPr>
            <w:r w:rsidRPr="000F11BD">
              <w:rPr>
                <w:rFonts w:ascii="宋体" w:eastAsia="宋体" w:hAnsi="宋体" w:cs="宋体" w:hint="eastAsia"/>
                <w:kern w:val="0"/>
                <w:sz w:val="22"/>
              </w:rPr>
              <w:t>尺寸极限偏差，mm</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门扇高度：±2</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门扇宽度：±2</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门扇厚度：-1～+2</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门框</w:t>
            </w:r>
            <w:proofErr w:type="gramStart"/>
            <w:r w:rsidRPr="000F11BD">
              <w:rPr>
                <w:rFonts w:ascii="宋体" w:eastAsia="宋体" w:hAnsi="宋体" w:cs="宋体" w:hint="eastAsia"/>
                <w:kern w:val="0"/>
                <w:sz w:val="22"/>
              </w:rPr>
              <w:t>内裁口高度</w:t>
            </w:r>
            <w:proofErr w:type="gramEnd"/>
            <w:r w:rsidRPr="000F11BD">
              <w:rPr>
                <w:rFonts w:ascii="宋体" w:eastAsia="宋体" w:hAnsi="宋体" w:cs="宋体" w:hint="eastAsia"/>
                <w:kern w:val="0"/>
                <w:sz w:val="22"/>
              </w:rPr>
              <w:t>：±3</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门框</w:t>
            </w:r>
            <w:proofErr w:type="gramStart"/>
            <w:r w:rsidRPr="000F11BD">
              <w:rPr>
                <w:rFonts w:ascii="宋体" w:eastAsia="宋体" w:hAnsi="宋体" w:cs="宋体" w:hint="eastAsia"/>
                <w:kern w:val="0"/>
                <w:sz w:val="22"/>
              </w:rPr>
              <w:t>内裁口宽度</w:t>
            </w:r>
            <w:proofErr w:type="gramEnd"/>
            <w:r w:rsidRPr="000F11BD">
              <w:rPr>
                <w:rFonts w:ascii="宋体" w:eastAsia="宋体" w:hAnsi="宋体" w:cs="宋体" w:hint="eastAsia"/>
                <w:kern w:val="0"/>
                <w:sz w:val="22"/>
              </w:rPr>
              <w:t>：±2</w:t>
            </w:r>
          </w:p>
        </w:tc>
      </w:tr>
      <w:tr w:rsidR="00BC7477"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门框侧壁宽度：±2</w:t>
            </w:r>
          </w:p>
        </w:tc>
      </w:tr>
      <w:tr w:rsidR="00BC7477" w:rsidRPr="000F11BD" w:rsidTr="008D1E5F">
        <w:trPr>
          <w:trHeight w:val="216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kern w:val="0"/>
                <w:sz w:val="22"/>
              </w:rPr>
            </w:pPr>
            <w:r w:rsidRPr="000F11BD">
              <w:rPr>
                <w:rFonts w:ascii="宋体" w:eastAsia="宋体" w:hAnsi="宋体" w:cs="宋体" w:hint="eastAsia"/>
                <w:kern w:val="0"/>
                <w:sz w:val="22"/>
              </w:rPr>
              <w:t>耐火完整性</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A1.50(甲级):≥1.50h,试件</w:t>
            </w:r>
            <w:proofErr w:type="gramStart"/>
            <w:r w:rsidRPr="000F11BD">
              <w:rPr>
                <w:rFonts w:ascii="宋体" w:eastAsia="宋体" w:hAnsi="宋体" w:cs="宋体" w:hint="eastAsia"/>
                <w:kern w:val="0"/>
                <w:sz w:val="22"/>
              </w:rPr>
              <w:t>背火面不应</w:t>
            </w:r>
            <w:proofErr w:type="gramEnd"/>
            <w:r w:rsidRPr="000F11BD">
              <w:rPr>
                <w:rFonts w:ascii="宋体" w:eastAsia="宋体" w:hAnsi="宋体" w:cs="宋体" w:hint="eastAsia"/>
                <w:kern w:val="0"/>
                <w:sz w:val="22"/>
              </w:rPr>
              <w:t>出现大于10s的火焰；棉垫不应被点燃；当试件</w:t>
            </w:r>
            <w:proofErr w:type="gramStart"/>
            <w:r w:rsidRPr="000F11BD">
              <w:rPr>
                <w:rFonts w:ascii="宋体" w:eastAsia="宋体" w:hAnsi="宋体" w:cs="宋体" w:hint="eastAsia"/>
                <w:kern w:val="0"/>
                <w:sz w:val="22"/>
              </w:rPr>
              <w:t>背火面出现</w:t>
            </w:r>
            <w:proofErr w:type="gramEnd"/>
            <w:r w:rsidRPr="000F11BD">
              <w:rPr>
                <w:rFonts w:ascii="宋体" w:eastAsia="宋体" w:hAnsi="宋体" w:cs="宋体" w:hint="eastAsia"/>
                <w:kern w:val="0"/>
                <w:sz w:val="22"/>
              </w:rPr>
              <w:t>贯通</w:t>
            </w:r>
            <w:proofErr w:type="gramStart"/>
            <w:r w:rsidRPr="000F11BD">
              <w:rPr>
                <w:rFonts w:ascii="宋体" w:eastAsia="宋体" w:hAnsi="宋体" w:cs="宋体" w:hint="eastAsia"/>
                <w:kern w:val="0"/>
                <w:sz w:val="22"/>
              </w:rPr>
              <w:t>至试</w:t>
            </w:r>
            <w:proofErr w:type="gramEnd"/>
            <w:r w:rsidRPr="000F11BD">
              <w:rPr>
                <w:rFonts w:ascii="宋体" w:eastAsia="宋体" w:hAnsi="宋体" w:cs="宋体" w:hint="eastAsia"/>
                <w:kern w:val="0"/>
                <w:sz w:val="22"/>
              </w:rPr>
              <w:t>验炉内的缝隙，直径6mm±0.1mm的探棒穿过缝隙进入试验炉内且探棒沿缝隙长度方向移动应小于150mm,或直25mm±0.2mm的探棒不应穿过缝隙进入试验炉内。</w:t>
            </w:r>
          </w:p>
        </w:tc>
      </w:tr>
      <w:tr w:rsidR="00BC7477" w:rsidRPr="000F11BD" w:rsidTr="008D1E5F">
        <w:trPr>
          <w:trHeight w:val="108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kern w:val="0"/>
                <w:sz w:val="22"/>
              </w:rPr>
            </w:pPr>
            <w:r w:rsidRPr="000F11BD">
              <w:rPr>
                <w:rFonts w:ascii="宋体" w:eastAsia="宋体" w:hAnsi="宋体" w:cs="宋体" w:hint="eastAsia"/>
                <w:kern w:val="0"/>
                <w:sz w:val="22"/>
              </w:rPr>
              <w:t>耐火隔热性</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A1.50(甲级):≥1.50h,试件</w:t>
            </w:r>
            <w:proofErr w:type="gramStart"/>
            <w:r w:rsidRPr="000F11BD">
              <w:rPr>
                <w:rFonts w:ascii="宋体" w:eastAsia="宋体" w:hAnsi="宋体" w:cs="宋体" w:hint="eastAsia"/>
                <w:kern w:val="0"/>
                <w:sz w:val="22"/>
              </w:rPr>
              <w:t>背火面平均</w:t>
            </w:r>
            <w:proofErr w:type="gramEnd"/>
            <w:r w:rsidRPr="000F11BD">
              <w:rPr>
                <w:rFonts w:ascii="宋体" w:eastAsia="宋体" w:hAnsi="宋体" w:cs="宋体" w:hint="eastAsia"/>
                <w:kern w:val="0"/>
                <w:sz w:val="22"/>
              </w:rPr>
              <w:t>温升≤140℃,最高温升(除门框</w:t>
            </w:r>
            <w:r w:rsidRPr="000F11BD">
              <w:rPr>
                <w:rFonts w:ascii="宋体" w:eastAsia="宋体" w:hAnsi="宋体" w:cs="宋体" w:hint="eastAsia"/>
                <w:kern w:val="0"/>
                <w:sz w:val="22"/>
              </w:rPr>
              <w:br/>
              <w:t>外)≤180℃,门框上最高温升≤360℃。</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bookmarkStart w:id="1" w:name="OLE_LINK3"/>
            <w:bookmarkStart w:id="2" w:name="OLE_LINK4"/>
            <w:r w:rsidRPr="000F11BD">
              <w:rPr>
                <w:rFonts w:ascii="宋体" w:eastAsia="宋体" w:hAnsi="宋体" w:cs="宋体" w:hint="eastAsia"/>
                <w:kern w:val="0"/>
                <w:sz w:val="22"/>
              </w:rPr>
              <w:t>1200*2200mm</w:t>
            </w:r>
            <w:bookmarkEnd w:id="1"/>
            <w:bookmarkEnd w:id="2"/>
          </w:p>
        </w:tc>
      </w:tr>
      <w:tr w:rsidR="00BC7477" w:rsidRPr="000F11BD" w:rsidTr="008D1E5F">
        <w:trPr>
          <w:trHeight w:val="135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乙级防火门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GB 12955-2008《防火门》，材料厚度mm</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门扇面板≥0.8</w:t>
            </w:r>
            <w:r w:rsidRPr="000F11BD">
              <w:rPr>
                <w:rFonts w:ascii="宋体" w:eastAsia="宋体" w:hAnsi="宋体" w:cs="宋体" w:hint="eastAsia"/>
                <w:color w:val="000000"/>
                <w:kern w:val="0"/>
                <w:sz w:val="22"/>
              </w:rPr>
              <w:br/>
              <w:t>门框板≥1.2</w:t>
            </w:r>
            <w:r w:rsidRPr="000F11BD">
              <w:rPr>
                <w:rFonts w:ascii="宋体" w:eastAsia="宋体" w:hAnsi="宋体" w:cs="宋体" w:hint="eastAsia"/>
                <w:color w:val="000000"/>
                <w:kern w:val="0"/>
                <w:sz w:val="22"/>
              </w:rPr>
              <w:br/>
              <w:t>铰链板≥3.0</w:t>
            </w:r>
            <w:r w:rsidRPr="000F11BD">
              <w:rPr>
                <w:rFonts w:ascii="宋体" w:eastAsia="宋体" w:hAnsi="宋体" w:cs="宋体" w:hint="eastAsia"/>
                <w:color w:val="000000"/>
                <w:kern w:val="0"/>
                <w:sz w:val="22"/>
              </w:rPr>
              <w:br/>
              <w:t>不带螺孔的加固件≥1.2</w:t>
            </w:r>
            <w:r w:rsidRPr="000F11BD">
              <w:rPr>
                <w:rFonts w:ascii="宋体" w:eastAsia="宋体" w:hAnsi="宋体" w:cs="宋体" w:hint="eastAsia"/>
                <w:color w:val="000000"/>
                <w:kern w:val="0"/>
                <w:sz w:val="22"/>
              </w:rPr>
              <w:br/>
            </w:r>
            <w:proofErr w:type="gramStart"/>
            <w:r w:rsidRPr="000F11BD">
              <w:rPr>
                <w:rFonts w:ascii="宋体" w:eastAsia="宋体" w:hAnsi="宋体" w:cs="宋体" w:hint="eastAsia"/>
                <w:color w:val="000000"/>
                <w:kern w:val="0"/>
                <w:sz w:val="22"/>
              </w:rPr>
              <w:t>带螺孔</w:t>
            </w:r>
            <w:proofErr w:type="gramEnd"/>
            <w:r w:rsidRPr="000F11BD">
              <w:rPr>
                <w:rFonts w:ascii="宋体" w:eastAsia="宋体" w:hAnsi="宋体" w:cs="宋体" w:hint="eastAsia"/>
                <w:color w:val="000000"/>
                <w:kern w:val="0"/>
                <w:sz w:val="22"/>
              </w:rPr>
              <w:t>的加固件≥3.0</w:t>
            </w:r>
          </w:p>
        </w:tc>
      </w:tr>
      <w:tr w:rsidR="00BC7477" w:rsidRPr="000F11BD" w:rsidTr="008D1E5F">
        <w:trPr>
          <w:trHeight w:val="162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尺寸极限偏 差，mm</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门扇高度：±2</w:t>
            </w:r>
            <w:r w:rsidRPr="000F11BD">
              <w:rPr>
                <w:rFonts w:ascii="宋体" w:eastAsia="宋体" w:hAnsi="宋体" w:cs="宋体" w:hint="eastAsia"/>
                <w:color w:val="000000"/>
                <w:kern w:val="0"/>
                <w:sz w:val="22"/>
              </w:rPr>
              <w:br/>
              <w:t>门扇宽度：±2</w:t>
            </w:r>
            <w:r w:rsidRPr="000F11BD">
              <w:rPr>
                <w:rFonts w:ascii="宋体" w:eastAsia="宋体" w:hAnsi="宋体" w:cs="宋体" w:hint="eastAsia"/>
                <w:color w:val="000000"/>
                <w:kern w:val="0"/>
                <w:sz w:val="22"/>
              </w:rPr>
              <w:br/>
              <w:t>门扇厚度：-1～+2</w:t>
            </w:r>
            <w:r w:rsidRPr="000F11BD">
              <w:rPr>
                <w:rFonts w:ascii="宋体" w:eastAsia="宋体" w:hAnsi="宋体" w:cs="宋体" w:hint="eastAsia"/>
                <w:color w:val="000000"/>
                <w:kern w:val="0"/>
                <w:sz w:val="22"/>
              </w:rPr>
              <w:br/>
              <w:t>门框</w:t>
            </w:r>
            <w:proofErr w:type="gramStart"/>
            <w:r w:rsidRPr="000F11BD">
              <w:rPr>
                <w:rFonts w:ascii="宋体" w:eastAsia="宋体" w:hAnsi="宋体" w:cs="宋体" w:hint="eastAsia"/>
                <w:color w:val="000000"/>
                <w:kern w:val="0"/>
                <w:sz w:val="22"/>
              </w:rPr>
              <w:t>内裁口高度</w:t>
            </w:r>
            <w:proofErr w:type="gramEnd"/>
            <w:r w:rsidRPr="000F11BD">
              <w:rPr>
                <w:rFonts w:ascii="宋体" w:eastAsia="宋体" w:hAnsi="宋体" w:cs="宋体" w:hint="eastAsia"/>
                <w:color w:val="000000"/>
                <w:kern w:val="0"/>
                <w:sz w:val="22"/>
              </w:rPr>
              <w:t>：±3</w:t>
            </w:r>
            <w:r w:rsidRPr="000F11BD">
              <w:rPr>
                <w:rFonts w:ascii="宋体" w:eastAsia="宋体" w:hAnsi="宋体" w:cs="宋体" w:hint="eastAsia"/>
                <w:color w:val="000000"/>
                <w:kern w:val="0"/>
                <w:sz w:val="22"/>
              </w:rPr>
              <w:br/>
              <w:t>门框</w:t>
            </w:r>
            <w:proofErr w:type="gramStart"/>
            <w:r w:rsidRPr="000F11BD">
              <w:rPr>
                <w:rFonts w:ascii="宋体" w:eastAsia="宋体" w:hAnsi="宋体" w:cs="宋体" w:hint="eastAsia"/>
                <w:color w:val="000000"/>
                <w:kern w:val="0"/>
                <w:sz w:val="22"/>
              </w:rPr>
              <w:t>内裁口宽度</w:t>
            </w:r>
            <w:proofErr w:type="gramEnd"/>
            <w:r w:rsidRPr="000F11BD">
              <w:rPr>
                <w:rFonts w:ascii="宋体" w:eastAsia="宋体" w:hAnsi="宋体" w:cs="宋体" w:hint="eastAsia"/>
                <w:color w:val="000000"/>
                <w:kern w:val="0"/>
                <w:sz w:val="22"/>
              </w:rPr>
              <w:t>：±2</w:t>
            </w:r>
            <w:r w:rsidRPr="000F11BD">
              <w:rPr>
                <w:rFonts w:ascii="宋体" w:eastAsia="宋体" w:hAnsi="宋体" w:cs="宋体" w:hint="eastAsia"/>
                <w:color w:val="000000"/>
                <w:kern w:val="0"/>
                <w:sz w:val="22"/>
              </w:rPr>
              <w:br/>
              <w:t>门框侧壁宽度：±2</w:t>
            </w:r>
          </w:p>
        </w:tc>
      </w:tr>
      <w:tr w:rsidR="00BC7477" w:rsidRPr="000F11BD" w:rsidTr="008D1E5F">
        <w:trPr>
          <w:trHeight w:val="162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耐火隔热性</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A1.00(乙级)≥1.00h,试件</w:t>
            </w:r>
            <w:r w:rsidRPr="000F11BD">
              <w:rPr>
                <w:rFonts w:ascii="宋体" w:eastAsia="宋体" w:hAnsi="宋体" w:cs="宋体" w:hint="eastAsia"/>
                <w:color w:val="000000"/>
                <w:kern w:val="0"/>
                <w:sz w:val="22"/>
              </w:rPr>
              <w:br/>
              <w:t>背火表面(门扇)平均温升</w:t>
            </w:r>
            <w:r w:rsidRPr="000F11BD">
              <w:rPr>
                <w:rFonts w:ascii="宋体" w:eastAsia="宋体" w:hAnsi="宋体" w:cs="宋体" w:hint="eastAsia"/>
                <w:color w:val="000000"/>
                <w:kern w:val="0"/>
                <w:sz w:val="22"/>
              </w:rPr>
              <w:br/>
              <w:t>≤140℃,试件背火表面(</w:t>
            </w:r>
            <w:proofErr w:type="gramStart"/>
            <w:r w:rsidRPr="000F11BD">
              <w:rPr>
                <w:rFonts w:ascii="宋体" w:eastAsia="宋体" w:hAnsi="宋体" w:cs="宋体" w:hint="eastAsia"/>
                <w:color w:val="000000"/>
                <w:kern w:val="0"/>
                <w:sz w:val="22"/>
              </w:rPr>
              <w:t>除门</w:t>
            </w:r>
            <w:proofErr w:type="gramEnd"/>
            <w:r w:rsidRPr="000F11BD">
              <w:rPr>
                <w:rFonts w:ascii="宋体" w:eastAsia="宋体" w:hAnsi="宋体" w:cs="宋体" w:hint="eastAsia"/>
                <w:color w:val="000000"/>
                <w:kern w:val="0"/>
                <w:sz w:val="22"/>
              </w:rPr>
              <w:t xml:space="preserve"> 框外)最高温升≤180℃,防火 玻璃(不同隔热区域)</w:t>
            </w:r>
            <w:proofErr w:type="gramStart"/>
            <w:r w:rsidRPr="000F11BD">
              <w:rPr>
                <w:rFonts w:ascii="宋体" w:eastAsia="宋体" w:hAnsi="宋体" w:cs="宋体" w:hint="eastAsia"/>
                <w:color w:val="000000"/>
                <w:kern w:val="0"/>
                <w:sz w:val="22"/>
              </w:rPr>
              <w:t>背火</w:t>
            </w:r>
            <w:proofErr w:type="gramEnd"/>
            <w:r w:rsidRPr="000F11BD">
              <w:rPr>
                <w:rFonts w:ascii="宋体" w:eastAsia="宋体" w:hAnsi="宋体" w:cs="宋体" w:hint="eastAsia"/>
                <w:color w:val="000000"/>
                <w:kern w:val="0"/>
                <w:sz w:val="22"/>
              </w:rPr>
              <w:t>表  面平均温升≤140℃,门框背火表面最高温升≤360℃。</w:t>
            </w:r>
          </w:p>
        </w:tc>
      </w:tr>
      <w:tr w:rsidR="00BC7477" w:rsidRPr="000F11BD" w:rsidTr="008D1E5F">
        <w:trPr>
          <w:trHeight w:val="192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耐火完整性</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A1.00(乙级)≥1.00h,试件</w:t>
            </w:r>
            <w:r w:rsidRPr="000F11BD">
              <w:rPr>
                <w:rFonts w:ascii="宋体" w:eastAsia="宋体" w:hAnsi="宋体" w:cs="宋体" w:hint="eastAsia"/>
                <w:color w:val="000000"/>
                <w:kern w:val="0"/>
                <w:sz w:val="22"/>
              </w:rPr>
              <w:br/>
            </w:r>
            <w:proofErr w:type="gramStart"/>
            <w:r w:rsidRPr="000F11BD">
              <w:rPr>
                <w:rFonts w:ascii="宋体" w:eastAsia="宋体" w:hAnsi="宋体" w:cs="宋体" w:hint="eastAsia"/>
                <w:color w:val="000000"/>
                <w:kern w:val="0"/>
                <w:sz w:val="22"/>
              </w:rPr>
              <w:t>背火面未</w:t>
            </w:r>
            <w:proofErr w:type="gramEnd"/>
            <w:r w:rsidRPr="000F11BD">
              <w:rPr>
                <w:rFonts w:ascii="宋体" w:eastAsia="宋体" w:hAnsi="宋体" w:cs="宋体" w:hint="eastAsia"/>
                <w:color w:val="000000"/>
                <w:kern w:val="0"/>
                <w:sz w:val="22"/>
              </w:rPr>
              <w:t>出现持续10s以上火焰，棉垫未着火；缝隙探棒不 可以穿过(</w:t>
            </w:r>
            <w:r w:rsidRPr="000F11BD">
              <w:rPr>
                <w:rFonts w:ascii="Calibri" w:eastAsia="宋体" w:hAnsi="Calibri" w:cs="Calibri"/>
                <w:color w:val="000000"/>
                <w:kern w:val="0"/>
                <w:sz w:val="22"/>
              </w:rPr>
              <w:t>φ</w:t>
            </w:r>
            <w:r w:rsidRPr="000F11BD">
              <w:rPr>
                <w:rFonts w:ascii="宋体" w:eastAsia="宋体" w:hAnsi="宋体" w:cs="宋体" w:hint="eastAsia"/>
                <w:color w:val="000000"/>
                <w:kern w:val="0"/>
                <w:sz w:val="22"/>
              </w:rPr>
              <w:t>6mm的缝隙探棒穿过试件进入炉内，并沿裂缝方向移动150mm的长度；中25mm的缝隙探棒穿过试件进入炉内)。</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1500*2200mm</w:t>
            </w:r>
          </w:p>
        </w:tc>
      </w:tr>
      <w:tr w:rsidR="00BC7477" w:rsidRPr="000F11BD" w:rsidTr="008D1E5F">
        <w:trPr>
          <w:trHeight w:val="27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木质门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允许偏差扇表面平整度</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&lt;2.0mm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允许偏差扇翘曲</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&lt;3.0mm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允许偏差扇对角线长度差</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&lt;3.0mm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甲醛释放限量</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&lt;1.5mg/L</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1000*2200mm</w:t>
            </w:r>
          </w:p>
        </w:tc>
      </w:tr>
      <w:tr w:rsidR="00BC7477" w:rsidRPr="000F11BD" w:rsidTr="008D1E5F">
        <w:trPr>
          <w:trHeight w:val="27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lastRenderedPageBreak/>
              <w:t>木质门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允许偏差扇表面平整度</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&lt;2.0mm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允许偏差扇翘曲</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&lt;3.0mm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允许偏差扇对角线长度差</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&lt;3.0mm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甲醛释放限量</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&lt;1.5mg/L</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1500*2200mm</w:t>
            </w:r>
          </w:p>
        </w:tc>
      </w:tr>
      <w:tr w:rsidR="00E76CCB" w:rsidRPr="000F11BD" w:rsidTr="006B1702">
        <w:trPr>
          <w:trHeight w:val="289"/>
        </w:trPr>
        <w:tc>
          <w:tcPr>
            <w:tcW w:w="988" w:type="dxa"/>
            <w:vMerge w:val="restart"/>
            <w:tcBorders>
              <w:top w:val="nil"/>
              <w:left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bookmarkStart w:id="3" w:name="_Hlk209970223"/>
            <w:r w:rsidRPr="000F11BD">
              <w:rPr>
                <w:rFonts w:ascii="宋体" w:eastAsia="宋体" w:hAnsi="宋体" w:cs="宋体" w:hint="eastAsia"/>
                <w:color w:val="000000"/>
                <w:kern w:val="0"/>
                <w:sz w:val="22"/>
              </w:rPr>
              <w:t>钢制气密门</w:t>
            </w:r>
          </w:p>
        </w:tc>
        <w:tc>
          <w:tcPr>
            <w:tcW w:w="708" w:type="dxa"/>
            <w:vMerge w:val="restart"/>
            <w:tcBorders>
              <w:top w:val="nil"/>
              <w:left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12</w:t>
            </w:r>
          </w:p>
        </w:tc>
        <w:tc>
          <w:tcPr>
            <w:tcW w:w="709" w:type="dxa"/>
            <w:vMerge w:val="restart"/>
            <w:tcBorders>
              <w:top w:val="nil"/>
              <w:left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气密性能，</w:t>
            </w:r>
            <w:proofErr w:type="spellStart"/>
            <w:r w:rsidRPr="000F11BD">
              <w:rPr>
                <w:rFonts w:ascii="宋体" w:eastAsia="宋体" w:hAnsi="宋体" w:cs="宋体" w:hint="eastAsia"/>
                <w:color w:val="000000"/>
                <w:kern w:val="0"/>
                <w:sz w:val="22"/>
              </w:rPr>
              <w:t>q,m</w:t>
            </w:r>
            <w:proofErr w:type="spellEnd"/>
            <w:r w:rsidRPr="000F11BD">
              <w:rPr>
                <w:rFonts w:ascii="宋体" w:eastAsia="宋体" w:hAnsi="宋体" w:cs="宋体" w:hint="eastAsia"/>
                <w:color w:val="000000"/>
                <w:kern w:val="0"/>
                <w:sz w:val="22"/>
              </w:rPr>
              <w:t>³/(m-h)</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1.5≥qi&gt;1.0</w:t>
            </w:r>
          </w:p>
        </w:tc>
      </w:tr>
      <w:tr w:rsidR="00E76CCB" w:rsidRPr="000F11BD" w:rsidTr="006B1702">
        <w:trPr>
          <w:trHeight w:val="289"/>
        </w:trPr>
        <w:tc>
          <w:tcPr>
            <w:tcW w:w="98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气密性能，q2,m³/(m²·h)</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3.0≥q</w:t>
            </w:r>
            <w:r w:rsidRPr="000F11BD">
              <w:rPr>
                <w:rFonts w:ascii="Times New Roman" w:eastAsia="宋体" w:hAnsi="Times New Roman" w:cs="Times New Roman"/>
                <w:color w:val="000000"/>
                <w:kern w:val="0"/>
                <w:sz w:val="22"/>
              </w:rPr>
              <w:t>₂</w:t>
            </w:r>
            <w:r w:rsidRPr="000F11BD">
              <w:rPr>
                <w:rFonts w:ascii="宋体" w:eastAsia="宋体" w:hAnsi="宋体" w:cs="宋体" w:hint="eastAsia"/>
                <w:color w:val="000000"/>
                <w:kern w:val="0"/>
                <w:sz w:val="22"/>
              </w:rPr>
              <w:t>&gt;1.5</w:t>
            </w:r>
          </w:p>
        </w:tc>
      </w:tr>
      <w:tr w:rsidR="00E76CCB" w:rsidRPr="000F11BD" w:rsidTr="006B1702">
        <w:trPr>
          <w:trHeight w:val="289"/>
        </w:trPr>
        <w:tc>
          <w:tcPr>
            <w:tcW w:w="98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水密性能，Pa</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250≤△P&lt;350</w:t>
            </w:r>
          </w:p>
        </w:tc>
      </w:tr>
      <w:tr w:rsidR="00E76CCB" w:rsidRPr="000F11BD" w:rsidTr="006B1702">
        <w:trPr>
          <w:trHeight w:val="289"/>
        </w:trPr>
        <w:tc>
          <w:tcPr>
            <w:tcW w:w="98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抗风压性能，P3,kPa</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4.0≤P</w:t>
            </w:r>
            <w:r w:rsidRPr="000F11BD">
              <w:rPr>
                <w:rFonts w:ascii="Times New Roman" w:eastAsia="宋体" w:hAnsi="Times New Roman" w:cs="Times New Roman"/>
                <w:color w:val="000000"/>
                <w:kern w:val="0"/>
                <w:sz w:val="22"/>
              </w:rPr>
              <w:t>₃</w:t>
            </w:r>
            <w:r w:rsidRPr="000F11BD">
              <w:rPr>
                <w:rFonts w:ascii="宋体" w:eastAsia="宋体" w:hAnsi="宋体" w:cs="宋体" w:hint="eastAsia"/>
                <w:color w:val="000000"/>
                <w:kern w:val="0"/>
                <w:sz w:val="22"/>
              </w:rPr>
              <w:t>&lt;4.5</w:t>
            </w:r>
          </w:p>
        </w:tc>
      </w:tr>
      <w:tr w:rsidR="00E76CCB" w:rsidRPr="000F11BD" w:rsidTr="006B1702">
        <w:trPr>
          <w:trHeight w:val="289"/>
        </w:trPr>
        <w:tc>
          <w:tcPr>
            <w:tcW w:w="98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1000*2200mm</w:t>
            </w:r>
          </w:p>
        </w:tc>
      </w:tr>
      <w:tr w:rsidR="00E76CCB" w:rsidRPr="000F11BD" w:rsidTr="006B1702">
        <w:trPr>
          <w:trHeight w:val="289"/>
        </w:trPr>
        <w:tc>
          <w:tcPr>
            <w:tcW w:w="988" w:type="dxa"/>
            <w:vMerge/>
            <w:tcBorders>
              <w:left w:val="single" w:sz="4" w:space="0" w:color="auto"/>
              <w:bottom w:val="single" w:sz="4" w:space="0" w:color="auto"/>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bookmarkStart w:id="4" w:name="_Hlk209971872"/>
          </w:p>
        </w:tc>
        <w:tc>
          <w:tcPr>
            <w:tcW w:w="708" w:type="dxa"/>
            <w:vMerge/>
            <w:tcBorders>
              <w:left w:val="single" w:sz="4" w:space="0" w:color="auto"/>
              <w:bottom w:val="single" w:sz="4" w:space="0" w:color="000000"/>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left w:val="single" w:sz="4" w:space="0" w:color="auto"/>
              <w:bottom w:val="single" w:sz="4" w:space="0" w:color="000000"/>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tcPr>
          <w:p w:rsidR="00E76CCB" w:rsidRPr="000F11BD" w:rsidRDefault="00E76CCB" w:rsidP="000F11B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其他</w:t>
            </w:r>
          </w:p>
        </w:tc>
        <w:tc>
          <w:tcPr>
            <w:tcW w:w="4678" w:type="dxa"/>
            <w:tcBorders>
              <w:top w:val="nil"/>
              <w:left w:val="nil"/>
              <w:bottom w:val="single" w:sz="4" w:space="0" w:color="auto"/>
              <w:right w:val="single" w:sz="4" w:space="0" w:color="auto"/>
            </w:tcBorders>
            <w:shd w:val="clear" w:color="auto" w:fill="auto"/>
            <w:vAlign w:val="center"/>
          </w:tcPr>
          <w:p w:rsidR="00E76CCB" w:rsidRPr="000F11BD" w:rsidRDefault="00E76CCB" w:rsidP="000F11B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含互锁装置</w:t>
            </w:r>
          </w:p>
        </w:tc>
      </w:tr>
      <w:bookmarkEnd w:id="4"/>
      <w:tr w:rsidR="00BC7477" w:rsidRPr="000F11BD" w:rsidTr="008D1E5F">
        <w:trPr>
          <w:trHeight w:val="54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钢制气密门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气密性能，q2,m³/(m²·h)</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3.0≥q</w:t>
            </w:r>
            <w:r w:rsidRPr="000F11BD">
              <w:rPr>
                <w:rFonts w:ascii="Times New Roman" w:eastAsia="宋体" w:hAnsi="Times New Roman" w:cs="Times New Roman"/>
                <w:color w:val="000000"/>
                <w:kern w:val="0"/>
                <w:sz w:val="22"/>
              </w:rPr>
              <w:t>₂</w:t>
            </w:r>
            <w:r w:rsidRPr="000F11BD">
              <w:rPr>
                <w:rFonts w:ascii="宋体" w:eastAsia="宋体" w:hAnsi="宋体" w:cs="宋体" w:hint="eastAsia"/>
                <w:color w:val="000000"/>
                <w:kern w:val="0"/>
                <w:sz w:val="22"/>
              </w:rPr>
              <w:t>&gt;1.5</w:t>
            </w:r>
          </w:p>
        </w:tc>
      </w:tr>
      <w:tr w:rsidR="00BC7477"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水密性能，Pa</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250≤△P&lt;350</w:t>
            </w:r>
          </w:p>
        </w:tc>
      </w:tr>
      <w:tr w:rsidR="00BC7477" w:rsidRPr="000F11BD" w:rsidTr="008D1E5F">
        <w:trPr>
          <w:trHeight w:val="30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抗风压性能，P3,kPa</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4.0≤P</w:t>
            </w:r>
            <w:r w:rsidRPr="000F11BD">
              <w:rPr>
                <w:rFonts w:ascii="Times New Roman" w:eastAsia="宋体" w:hAnsi="Times New Roman" w:cs="Times New Roman"/>
                <w:color w:val="000000"/>
                <w:kern w:val="0"/>
                <w:sz w:val="22"/>
              </w:rPr>
              <w:t>₃</w:t>
            </w:r>
            <w:r w:rsidRPr="000F11BD">
              <w:rPr>
                <w:rFonts w:ascii="宋体" w:eastAsia="宋体" w:hAnsi="宋体" w:cs="宋体" w:hint="eastAsia"/>
                <w:color w:val="000000"/>
                <w:kern w:val="0"/>
                <w:sz w:val="22"/>
              </w:rPr>
              <w:t>&lt;4.5</w:t>
            </w:r>
          </w:p>
        </w:tc>
      </w:tr>
      <w:tr w:rsidR="00E76CCB"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1500*2200mm</w:t>
            </w:r>
          </w:p>
        </w:tc>
      </w:tr>
      <w:bookmarkEnd w:id="3"/>
      <w:tr w:rsidR="00E76CCB"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其他</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含互锁装置</w:t>
            </w:r>
          </w:p>
        </w:tc>
      </w:tr>
      <w:tr w:rsidR="00E76CCB" w:rsidRPr="000F11BD" w:rsidTr="008D1E5F">
        <w:trPr>
          <w:trHeight w:val="54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传递窗</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板材厚度</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外壁通常 1.0-1.2mm，内壁 1.2-1.5mm</w:t>
            </w:r>
          </w:p>
        </w:tc>
      </w:tr>
      <w:tr w:rsidR="00E76CCB"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核心材质</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 xml:space="preserve"> 201 不锈钢</w:t>
            </w:r>
          </w:p>
        </w:tc>
      </w:tr>
      <w:tr w:rsidR="00E76CCB"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额定承重</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10-20kg</w:t>
            </w:r>
          </w:p>
        </w:tc>
      </w:tr>
      <w:tr w:rsidR="00E76CCB"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600*600*600mm</w:t>
            </w:r>
          </w:p>
        </w:tc>
      </w:tr>
      <w:tr w:rsidR="00E76CCB" w:rsidRPr="000F11BD" w:rsidTr="008D1E5F">
        <w:trPr>
          <w:trHeight w:val="135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防火门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3</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GB 12955-2008《防火门》，材料厚度mm</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门扇面板≥0.8</w:t>
            </w:r>
            <w:r w:rsidRPr="000F11BD">
              <w:rPr>
                <w:rFonts w:ascii="宋体" w:eastAsia="宋体" w:hAnsi="宋体" w:cs="宋体" w:hint="eastAsia"/>
                <w:color w:val="000000"/>
                <w:kern w:val="0"/>
                <w:sz w:val="22"/>
              </w:rPr>
              <w:br/>
              <w:t>门框板≥1.2</w:t>
            </w:r>
            <w:r w:rsidRPr="000F11BD">
              <w:rPr>
                <w:rFonts w:ascii="宋体" w:eastAsia="宋体" w:hAnsi="宋体" w:cs="宋体" w:hint="eastAsia"/>
                <w:color w:val="000000"/>
                <w:kern w:val="0"/>
                <w:sz w:val="22"/>
              </w:rPr>
              <w:br/>
              <w:t>铰链板≥3.0</w:t>
            </w:r>
            <w:r w:rsidRPr="000F11BD">
              <w:rPr>
                <w:rFonts w:ascii="宋体" w:eastAsia="宋体" w:hAnsi="宋体" w:cs="宋体" w:hint="eastAsia"/>
                <w:color w:val="000000"/>
                <w:kern w:val="0"/>
                <w:sz w:val="22"/>
              </w:rPr>
              <w:br/>
              <w:t>不带螺孔的加固件≥1.2</w:t>
            </w:r>
            <w:r w:rsidRPr="000F11BD">
              <w:rPr>
                <w:rFonts w:ascii="宋体" w:eastAsia="宋体" w:hAnsi="宋体" w:cs="宋体" w:hint="eastAsia"/>
                <w:color w:val="000000"/>
                <w:kern w:val="0"/>
                <w:sz w:val="22"/>
              </w:rPr>
              <w:br/>
            </w:r>
            <w:proofErr w:type="gramStart"/>
            <w:r w:rsidRPr="000F11BD">
              <w:rPr>
                <w:rFonts w:ascii="宋体" w:eastAsia="宋体" w:hAnsi="宋体" w:cs="宋体" w:hint="eastAsia"/>
                <w:color w:val="000000"/>
                <w:kern w:val="0"/>
                <w:sz w:val="22"/>
              </w:rPr>
              <w:t>带螺孔</w:t>
            </w:r>
            <w:proofErr w:type="gramEnd"/>
            <w:r w:rsidRPr="000F11BD">
              <w:rPr>
                <w:rFonts w:ascii="宋体" w:eastAsia="宋体" w:hAnsi="宋体" w:cs="宋体" w:hint="eastAsia"/>
                <w:color w:val="000000"/>
                <w:kern w:val="0"/>
                <w:sz w:val="22"/>
              </w:rPr>
              <w:t>的加固件≥3.0</w:t>
            </w:r>
          </w:p>
        </w:tc>
      </w:tr>
      <w:tr w:rsidR="00E76CCB" w:rsidRPr="000F11BD" w:rsidTr="008D1E5F">
        <w:trPr>
          <w:trHeight w:val="1620"/>
        </w:trPr>
        <w:tc>
          <w:tcPr>
            <w:tcW w:w="98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尺寸极限偏 差，mm</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门扇高度：±2</w:t>
            </w:r>
            <w:r w:rsidRPr="000F11BD">
              <w:rPr>
                <w:rFonts w:ascii="宋体" w:eastAsia="宋体" w:hAnsi="宋体" w:cs="宋体" w:hint="eastAsia"/>
                <w:color w:val="000000"/>
                <w:kern w:val="0"/>
                <w:sz w:val="22"/>
              </w:rPr>
              <w:br/>
              <w:t>门扇宽度：±2</w:t>
            </w:r>
            <w:r w:rsidRPr="000F11BD">
              <w:rPr>
                <w:rFonts w:ascii="宋体" w:eastAsia="宋体" w:hAnsi="宋体" w:cs="宋体" w:hint="eastAsia"/>
                <w:color w:val="000000"/>
                <w:kern w:val="0"/>
                <w:sz w:val="22"/>
              </w:rPr>
              <w:br/>
              <w:t>门扇厚度：-1～+2</w:t>
            </w:r>
            <w:r w:rsidRPr="000F11BD">
              <w:rPr>
                <w:rFonts w:ascii="宋体" w:eastAsia="宋体" w:hAnsi="宋体" w:cs="宋体" w:hint="eastAsia"/>
                <w:color w:val="000000"/>
                <w:kern w:val="0"/>
                <w:sz w:val="22"/>
              </w:rPr>
              <w:br/>
              <w:t>门框</w:t>
            </w:r>
            <w:proofErr w:type="gramStart"/>
            <w:r w:rsidRPr="000F11BD">
              <w:rPr>
                <w:rFonts w:ascii="宋体" w:eastAsia="宋体" w:hAnsi="宋体" w:cs="宋体" w:hint="eastAsia"/>
                <w:color w:val="000000"/>
                <w:kern w:val="0"/>
                <w:sz w:val="22"/>
              </w:rPr>
              <w:t>内裁口高度</w:t>
            </w:r>
            <w:proofErr w:type="gramEnd"/>
            <w:r w:rsidRPr="000F11BD">
              <w:rPr>
                <w:rFonts w:ascii="宋体" w:eastAsia="宋体" w:hAnsi="宋体" w:cs="宋体" w:hint="eastAsia"/>
                <w:color w:val="000000"/>
                <w:kern w:val="0"/>
                <w:sz w:val="22"/>
              </w:rPr>
              <w:t>：±3</w:t>
            </w:r>
            <w:r w:rsidRPr="000F11BD">
              <w:rPr>
                <w:rFonts w:ascii="宋体" w:eastAsia="宋体" w:hAnsi="宋体" w:cs="宋体" w:hint="eastAsia"/>
                <w:color w:val="000000"/>
                <w:kern w:val="0"/>
                <w:sz w:val="22"/>
              </w:rPr>
              <w:br/>
              <w:t>门框</w:t>
            </w:r>
            <w:proofErr w:type="gramStart"/>
            <w:r w:rsidRPr="000F11BD">
              <w:rPr>
                <w:rFonts w:ascii="宋体" w:eastAsia="宋体" w:hAnsi="宋体" w:cs="宋体" w:hint="eastAsia"/>
                <w:color w:val="000000"/>
                <w:kern w:val="0"/>
                <w:sz w:val="22"/>
              </w:rPr>
              <w:t>内裁口宽度</w:t>
            </w:r>
            <w:proofErr w:type="gramEnd"/>
            <w:r w:rsidRPr="000F11BD">
              <w:rPr>
                <w:rFonts w:ascii="宋体" w:eastAsia="宋体" w:hAnsi="宋体" w:cs="宋体" w:hint="eastAsia"/>
                <w:color w:val="000000"/>
                <w:kern w:val="0"/>
                <w:sz w:val="22"/>
              </w:rPr>
              <w:t>：±2</w:t>
            </w:r>
            <w:r w:rsidRPr="000F11BD">
              <w:rPr>
                <w:rFonts w:ascii="宋体" w:eastAsia="宋体" w:hAnsi="宋体" w:cs="宋体" w:hint="eastAsia"/>
                <w:color w:val="000000"/>
                <w:kern w:val="0"/>
                <w:sz w:val="22"/>
              </w:rPr>
              <w:br/>
              <w:t>门框侧壁宽度：±2</w:t>
            </w:r>
          </w:p>
        </w:tc>
      </w:tr>
      <w:tr w:rsidR="00E76CCB" w:rsidRPr="000F11BD" w:rsidTr="008D1E5F">
        <w:trPr>
          <w:trHeight w:val="1620"/>
        </w:trPr>
        <w:tc>
          <w:tcPr>
            <w:tcW w:w="98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耐火隔热性</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A1.00(乙级)≥1.00h,试件背火表面(门扇)平均温升≤140℃,试件背火表面(</w:t>
            </w:r>
            <w:proofErr w:type="gramStart"/>
            <w:r w:rsidRPr="000F11BD">
              <w:rPr>
                <w:rFonts w:ascii="宋体" w:eastAsia="宋体" w:hAnsi="宋体" w:cs="宋体" w:hint="eastAsia"/>
                <w:color w:val="000000"/>
                <w:kern w:val="0"/>
                <w:sz w:val="22"/>
              </w:rPr>
              <w:t>除门</w:t>
            </w:r>
            <w:proofErr w:type="gramEnd"/>
            <w:r w:rsidRPr="000F11BD">
              <w:rPr>
                <w:rFonts w:ascii="宋体" w:eastAsia="宋体" w:hAnsi="宋体" w:cs="宋体" w:hint="eastAsia"/>
                <w:color w:val="000000"/>
                <w:kern w:val="0"/>
                <w:sz w:val="22"/>
              </w:rPr>
              <w:t xml:space="preserve"> 框外)最高温升≤180℃,防火 玻璃(不同隔热区域)背火表面平均温升≤140℃,门框背火表面最高温升≤360℃。</w:t>
            </w:r>
          </w:p>
        </w:tc>
      </w:tr>
      <w:tr w:rsidR="00E76CCB" w:rsidRPr="000F11BD" w:rsidTr="008D1E5F">
        <w:trPr>
          <w:trHeight w:val="1920"/>
        </w:trPr>
        <w:tc>
          <w:tcPr>
            <w:tcW w:w="98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耐火完整性</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A1.00(乙级)≥1.00h,试件</w:t>
            </w:r>
            <w:proofErr w:type="gramStart"/>
            <w:r w:rsidRPr="000F11BD">
              <w:rPr>
                <w:rFonts w:ascii="宋体" w:eastAsia="宋体" w:hAnsi="宋体" w:cs="宋体" w:hint="eastAsia"/>
                <w:color w:val="000000"/>
                <w:kern w:val="0"/>
                <w:sz w:val="22"/>
              </w:rPr>
              <w:t>背火面未</w:t>
            </w:r>
            <w:proofErr w:type="gramEnd"/>
            <w:r w:rsidRPr="000F11BD">
              <w:rPr>
                <w:rFonts w:ascii="宋体" w:eastAsia="宋体" w:hAnsi="宋体" w:cs="宋体" w:hint="eastAsia"/>
                <w:color w:val="000000"/>
                <w:kern w:val="0"/>
                <w:sz w:val="22"/>
              </w:rPr>
              <w:t>出现持续10s以上火焰，棉垫未着火；缝隙探棒不可以穿过(</w:t>
            </w:r>
            <w:r w:rsidRPr="000F11BD">
              <w:rPr>
                <w:rFonts w:ascii="Calibri" w:eastAsia="宋体" w:hAnsi="Calibri" w:cs="Calibri"/>
                <w:color w:val="000000"/>
                <w:kern w:val="0"/>
                <w:sz w:val="22"/>
              </w:rPr>
              <w:t>φ</w:t>
            </w:r>
            <w:r w:rsidRPr="000F11BD">
              <w:rPr>
                <w:rFonts w:ascii="宋体" w:eastAsia="宋体" w:hAnsi="宋体" w:cs="宋体" w:hint="eastAsia"/>
                <w:color w:val="000000"/>
                <w:kern w:val="0"/>
                <w:sz w:val="22"/>
              </w:rPr>
              <w:t>6mm的缝隙探棒</w:t>
            </w:r>
            <w:r w:rsidRPr="000F11BD">
              <w:rPr>
                <w:rFonts w:ascii="宋体" w:eastAsia="宋体" w:hAnsi="宋体" w:cs="宋体" w:hint="eastAsia"/>
                <w:color w:val="000000"/>
                <w:kern w:val="0"/>
                <w:sz w:val="22"/>
              </w:rPr>
              <w:br/>
              <w:t>穿过试件进入炉内，并沿裂缝 方向移动150mm的长度；中25mm的缝隙探棒穿过试件进入炉内。)。</w:t>
            </w:r>
          </w:p>
        </w:tc>
      </w:tr>
      <w:tr w:rsidR="00E76CCB"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bookmarkStart w:id="5" w:name="OLE_LINK5"/>
            <w:r w:rsidRPr="000F11BD">
              <w:rPr>
                <w:rFonts w:ascii="宋体" w:eastAsia="宋体" w:hAnsi="宋体" w:cs="宋体" w:hint="eastAsia"/>
                <w:color w:val="000000"/>
                <w:kern w:val="0"/>
                <w:sz w:val="22"/>
              </w:rPr>
              <w:t>1125*2080mm</w:t>
            </w:r>
            <w:bookmarkEnd w:id="5"/>
          </w:p>
        </w:tc>
      </w:tr>
    </w:tbl>
    <w:p w:rsidR="00A62085" w:rsidRDefault="00FD22C6" w:rsidP="001629A1">
      <w:pPr>
        <w:ind w:firstLineChars="200" w:firstLine="420"/>
        <w:jc w:val="left"/>
        <w:rPr>
          <w:rFonts w:ascii="宋体" w:eastAsia="宋体" w:hAnsi="宋体"/>
          <w:szCs w:val="21"/>
        </w:rPr>
      </w:pPr>
      <w:r>
        <w:rPr>
          <w:rFonts w:ascii="宋体" w:eastAsia="宋体" w:hAnsi="宋体"/>
          <w:szCs w:val="21"/>
        </w:rPr>
        <w:t>2</w:t>
      </w:r>
      <w:r w:rsidR="007E3033">
        <w:rPr>
          <w:rFonts w:ascii="宋体" w:eastAsia="宋体" w:hAnsi="宋体" w:hint="eastAsia"/>
          <w:szCs w:val="21"/>
        </w:rPr>
        <w:t>.产品验收及质保期限：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卖方应保证提供的产品是全新的、未使用过的，符合产品的国家标准</w:t>
      </w:r>
      <w:r w:rsidR="0061713F">
        <w:rPr>
          <w:rFonts w:ascii="宋体" w:eastAsia="宋体" w:hAnsi="宋体" w:hint="eastAsia"/>
          <w:szCs w:val="21"/>
        </w:rPr>
        <w:t>、环保要求</w:t>
      </w:r>
      <w:r>
        <w:rPr>
          <w:rFonts w:ascii="宋体" w:eastAsia="宋体" w:hAnsi="宋体" w:hint="eastAsia"/>
          <w:szCs w:val="21"/>
        </w:rPr>
        <w:t>和招标文件中规定的产品技术、规格要求。</w:t>
      </w:r>
    </w:p>
    <w:p w:rsidR="00A62085" w:rsidRDefault="007E3033">
      <w:pPr>
        <w:ind w:firstLineChars="200" w:firstLine="420"/>
        <w:jc w:val="left"/>
        <w:rPr>
          <w:rFonts w:ascii="宋体" w:eastAsia="宋体" w:hAnsi="宋体"/>
          <w:szCs w:val="21"/>
        </w:rPr>
      </w:pPr>
      <w:r>
        <w:rPr>
          <w:rFonts w:ascii="宋体" w:eastAsia="宋体" w:hAnsi="宋体" w:hint="eastAsia"/>
          <w:szCs w:val="21"/>
        </w:rPr>
        <w:t>质保期</w:t>
      </w:r>
      <w:r w:rsidR="00D1378B">
        <w:rPr>
          <w:rFonts w:ascii="宋体" w:eastAsia="宋体" w:hAnsi="宋体" w:hint="eastAsia"/>
          <w:szCs w:val="21"/>
        </w:rPr>
        <w:t>不少于</w:t>
      </w:r>
      <w:r w:rsidR="003721B3">
        <w:rPr>
          <w:rFonts w:ascii="宋体" w:eastAsia="宋体" w:hAnsi="宋体"/>
          <w:szCs w:val="21"/>
        </w:rPr>
        <w:t>1</w:t>
      </w:r>
      <w:r>
        <w:rPr>
          <w:rFonts w:ascii="宋体" w:eastAsia="宋体" w:hAnsi="宋体" w:hint="eastAsia"/>
          <w:szCs w:val="21"/>
        </w:rPr>
        <w:t>年，在产品质保期内，卖方应对由于产品、工艺、材料的缺陷造成的质量问题负责并免费更换或维修；由于产品缺陷给买方造成损失的卖方负全部责任并赔偿相应的损失。</w:t>
      </w:r>
    </w:p>
    <w:p w:rsidR="00A62085" w:rsidRDefault="007E3033">
      <w:pPr>
        <w:ind w:firstLineChars="200" w:firstLine="420"/>
        <w:jc w:val="left"/>
        <w:rPr>
          <w:rFonts w:ascii="宋体" w:eastAsia="宋体" w:hAnsi="宋体"/>
          <w:szCs w:val="21"/>
        </w:rPr>
      </w:pPr>
      <w:r>
        <w:rPr>
          <w:rFonts w:ascii="宋体" w:eastAsia="宋体" w:hAnsi="宋体" w:hint="eastAsia"/>
          <w:szCs w:val="21"/>
        </w:rPr>
        <w:t>在质保期内，卖方所提供的全部产品因质量问题修理不好或不能更换的，买方有权退货，卖方必须无条件退还货款。</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产品验收方式为：现场验货。</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产品验收应在货物到达交货地点后的当天内验收。验收存在不合格的，买方可拒绝接受，卖方应在约定时间内进行整改；验收合格，并不免除卖方对产品内在质量的质保责任。</w:t>
      </w:r>
    </w:p>
    <w:p w:rsidR="00A62085" w:rsidRDefault="00FD22C6">
      <w:pPr>
        <w:ind w:firstLineChars="200" w:firstLine="420"/>
        <w:jc w:val="left"/>
        <w:rPr>
          <w:rFonts w:ascii="宋体" w:eastAsia="宋体" w:hAnsi="宋体"/>
          <w:szCs w:val="21"/>
        </w:rPr>
      </w:pPr>
      <w:r>
        <w:rPr>
          <w:rFonts w:ascii="宋体" w:eastAsia="宋体" w:hAnsi="宋体"/>
          <w:szCs w:val="21"/>
        </w:rPr>
        <w:t>3</w:t>
      </w:r>
      <w:r w:rsidR="007E3033">
        <w:rPr>
          <w:rFonts w:ascii="宋体" w:eastAsia="宋体" w:hAnsi="宋体" w:hint="eastAsia"/>
          <w:szCs w:val="21"/>
        </w:rPr>
        <w:t>.交货期限：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产品的交货期限为：卖方在接收到买方提供的送货清单</w:t>
      </w:r>
      <w:r>
        <w:rPr>
          <w:rFonts w:ascii="宋体" w:eastAsia="宋体" w:hAnsi="宋体"/>
          <w:szCs w:val="21"/>
        </w:rPr>
        <w:t>20</w:t>
      </w:r>
      <w:r>
        <w:rPr>
          <w:rFonts w:ascii="宋体" w:eastAsia="宋体" w:hAnsi="宋体" w:hint="eastAsia"/>
          <w:szCs w:val="21"/>
        </w:rPr>
        <w:t>日内完成所订制产品，并配送至指定地点。</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卖方在接收到买方提供的送货清单后，不得以数量多少和订购金额大小拒绝送货。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卖方在送货前两天必须与买方相关人员及时沟通，确定送货时间以及核实送货数量无误后方可送货。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卖方应确保在工作日内送货，时间为上午8：00-11：00，下午13：00-16：00。</w:t>
      </w:r>
    </w:p>
    <w:p w:rsidR="00A62085" w:rsidRDefault="007E3033">
      <w:pPr>
        <w:ind w:firstLineChars="200" w:firstLine="420"/>
        <w:jc w:val="left"/>
        <w:rPr>
          <w:rFonts w:ascii="宋体" w:eastAsia="宋体" w:hAnsi="宋体"/>
          <w:szCs w:val="21"/>
        </w:rPr>
      </w:pPr>
      <w:r>
        <w:rPr>
          <w:rFonts w:ascii="宋体" w:eastAsia="宋体" w:hAnsi="宋体" w:hint="eastAsia"/>
          <w:szCs w:val="21"/>
        </w:rPr>
        <w:t>买方购买此合同清单货物，如部分交货地点存在新建、装修、未交付状态，买方在合同期内无法确定交货时间，可根据工程进度及实际交付情况，分批次执行采购，直到此合同交付完成。</w:t>
      </w:r>
    </w:p>
    <w:p w:rsidR="00102DEC" w:rsidRDefault="00FD22C6">
      <w:pPr>
        <w:ind w:firstLineChars="200" w:firstLine="420"/>
        <w:jc w:val="left"/>
        <w:rPr>
          <w:rFonts w:ascii="宋体" w:eastAsia="宋体" w:hAnsi="宋体"/>
          <w:szCs w:val="21"/>
        </w:rPr>
      </w:pPr>
      <w:r>
        <w:rPr>
          <w:rFonts w:ascii="宋体" w:eastAsia="宋体" w:hAnsi="宋体"/>
          <w:szCs w:val="21"/>
        </w:rPr>
        <w:t>4</w:t>
      </w:r>
      <w:r w:rsidR="007E3033">
        <w:rPr>
          <w:rFonts w:ascii="宋体" w:eastAsia="宋体" w:hAnsi="宋体" w:hint="eastAsia"/>
          <w:szCs w:val="21"/>
        </w:rPr>
        <w:t>.交货地点：北京大学人民</w:t>
      </w:r>
      <w:r w:rsidR="00E85679">
        <w:rPr>
          <w:rFonts w:ascii="宋体" w:eastAsia="宋体" w:hAnsi="宋体" w:hint="eastAsia"/>
          <w:szCs w:val="21"/>
        </w:rPr>
        <w:t>西直门院区</w:t>
      </w:r>
      <w:r w:rsidR="003721B3">
        <w:rPr>
          <w:rFonts w:ascii="宋体" w:eastAsia="宋体" w:hAnsi="宋体" w:hint="eastAsia"/>
          <w:szCs w:val="21"/>
        </w:rPr>
        <w:t>医技楼</w:t>
      </w:r>
    </w:p>
    <w:p w:rsidR="00A62085" w:rsidRDefault="00FD22C6">
      <w:pPr>
        <w:ind w:firstLineChars="200" w:firstLine="420"/>
        <w:jc w:val="left"/>
        <w:rPr>
          <w:rFonts w:ascii="宋体" w:eastAsia="宋体" w:hAnsi="宋体"/>
          <w:szCs w:val="21"/>
        </w:rPr>
      </w:pPr>
      <w:r>
        <w:rPr>
          <w:rFonts w:ascii="宋体" w:eastAsia="宋体" w:hAnsi="宋体"/>
          <w:szCs w:val="21"/>
        </w:rPr>
        <w:t>5</w:t>
      </w:r>
      <w:r w:rsidR="007E3033">
        <w:rPr>
          <w:rFonts w:ascii="宋体" w:eastAsia="宋体" w:hAnsi="宋体" w:hint="eastAsia"/>
          <w:szCs w:val="21"/>
        </w:rPr>
        <w:t>.交货方式和风险责任及费用负担：</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卖方送货。由卖方将产品运送到约定交货地点并安装到位，交货前发生的一切风险和费用（包括货到交货地点的卸车费用、在制作安装、搬运过程中发生的一切设备损坏及人身伤亡事故）由卖方承担。</w:t>
      </w:r>
    </w:p>
    <w:p w:rsidR="00A62085" w:rsidRDefault="00FD22C6">
      <w:pPr>
        <w:ind w:firstLineChars="200" w:firstLine="420"/>
        <w:jc w:val="left"/>
        <w:rPr>
          <w:rFonts w:ascii="宋体" w:eastAsia="宋体" w:hAnsi="宋体"/>
          <w:szCs w:val="21"/>
        </w:rPr>
      </w:pPr>
      <w:r>
        <w:rPr>
          <w:rFonts w:ascii="宋体" w:eastAsia="宋体" w:hAnsi="宋体"/>
          <w:szCs w:val="21"/>
        </w:rPr>
        <w:t>6</w:t>
      </w:r>
      <w:r w:rsidR="007E3033">
        <w:rPr>
          <w:rFonts w:ascii="宋体" w:eastAsia="宋体" w:hAnsi="宋体" w:hint="eastAsia"/>
          <w:szCs w:val="21"/>
        </w:rPr>
        <w:t>.货款结算：</w:t>
      </w:r>
    </w:p>
    <w:p w:rsidR="00A62085" w:rsidRDefault="007E3033">
      <w:pPr>
        <w:ind w:firstLineChars="200" w:firstLine="420"/>
        <w:jc w:val="left"/>
        <w:rPr>
          <w:rFonts w:ascii="宋体" w:eastAsia="宋体" w:hAnsi="宋体"/>
          <w:szCs w:val="21"/>
        </w:rPr>
      </w:pPr>
      <w:r>
        <w:rPr>
          <w:rFonts w:ascii="宋体" w:eastAsia="宋体" w:hAnsi="宋体" w:hint="eastAsia"/>
          <w:szCs w:val="21"/>
        </w:rPr>
        <w:t>货款以电汇的方式支付。结算</w:t>
      </w:r>
      <w:r w:rsidR="00996FDF">
        <w:rPr>
          <w:rFonts w:ascii="宋体" w:eastAsia="宋体" w:hAnsi="宋体" w:hint="eastAsia"/>
          <w:szCs w:val="21"/>
        </w:rPr>
        <w:t>数量以</w:t>
      </w:r>
      <w:r>
        <w:rPr>
          <w:rFonts w:ascii="宋体" w:eastAsia="宋体" w:hAnsi="宋体" w:hint="eastAsia"/>
          <w:szCs w:val="21"/>
        </w:rPr>
        <w:t>实际完成量为准。</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lastRenderedPageBreak/>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E85679" w:rsidRPr="00E85679" w:rsidRDefault="00E85679" w:rsidP="00E85679">
      <w:pPr>
        <w:ind w:firstLineChars="200" w:firstLine="420"/>
        <w:jc w:val="left"/>
        <w:rPr>
          <w:rFonts w:ascii="宋体" w:eastAsia="宋体" w:hAnsi="宋体"/>
          <w:szCs w:val="21"/>
        </w:rPr>
      </w:pPr>
      <w:r w:rsidRPr="00E85679">
        <w:rPr>
          <w:rFonts w:ascii="宋体" w:eastAsia="宋体" w:hAnsi="宋体" w:hint="eastAsia"/>
          <w:szCs w:val="21"/>
        </w:rPr>
        <w:t>（</w:t>
      </w:r>
      <w:r w:rsidR="00F964D5">
        <w:rPr>
          <w:rFonts w:ascii="宋体" w:eastAsia="宋体" w:hAnsi="宋体"/>
          <w:szCs w:val="21"/>
        </w:rPr>
        <w:t>3</w:t>
      </w:r>
      <w:r w:rsidRPr="00E85679">
        <w:rPr>
          <w:rFonts w:ascii="宋体" w:eastAsia="宋体" w:hAnsi="宋体" w:hint="eastAsia"/>
          <w:szCs w:val="21"/>
        </w:rPr>
        <w:t>）提供开标日期近</w:t>
      </w:r>
      <w:r w:rsidRPr="00E85679">
        <w:rPr>
          <w:rFonts w:ascii="宋体" w:eastAsia="宋体" w:hAnsi="宋体"/>
          <w:szCs w:val="21"/>
        </w:rPr>
        <w:t>5</w:t>
      </w:r>
      <w:r w:rsidRPr="00E85679">
        <w:rPr>
          <w:rFonts w:ascii="宋体" w:eastAsia="宋体" w:hAnsi="宋体" w:hint="eastAsia"/>
          <w:szCs w:val="21"/>
        </w:rPr>
        <w:t>日内“信用中国”网站下载的信用报告及中国政府采购网</w:t>
      </w:r>
      <w:hyperlink r:id="rId8" w:tgtFrame="_blank" w:tooltip="政府采购严重违法失信行为记录管理系统" w:history="1">
        <w:r w:rsidRPr="00E85679">
          <w:rPr>
            <w:rFonts w:ascii="宋体" w:eastAsia="宋体" w:hAnsi="宋体" w:hint="eastAsia"/>
            <w:szCs w:val="21"/>
          </w:rPr>
          <w:t>政府采购严重违法失信行为记录管理系统</w:t>
        </w:r>
      </w:hyperlink>
      <w:r w:rsidRPr="00E85679">
        <w:rPr>
          <w:rFonts w:ascii="宋体" w:eastAsia="宋体" w:hAnsi="宋体" w:hint="eastAsia"/>
          <w:szCs w:val="21"/>
        </w:rPr>
        <w:t xml:space="preserve">截图。 </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4</w:t>
      </w:r>
      <w:r>
        <w:rPr>
          <w:rFonts w:ascii="宋体" w:eastAsia="宋体" w:hAnsi="宋体" w:hint="eastAsia"/>
          <w:szCs w:val="21"/>
        </w:rPr>
        <w:t>）近三年类似项目合同业绩证明及合同复印件（自2</w:t>
      </w:r>
      <w:r>
        <w:rPr>
          <w:rFonts w:ascii="宋体" w:eastAsia="宋体" w:hAnsi="宋体"/>
          <w:szCs w:val="21"/>
        </w:rPr>
        <w:t>02</w:t>
      </w:r>
      <w:r w:rsidR="0068485E">
        <w:rPr>
          <w:rFonts w:ascii="宋体" w:eastAsia="宋体" w:hAnsi="宋体"/>
          <w:szCs w:val="21"/>
        </w:rPr>
        <w:t>2</w:t>
      </w:r>
      <w:r>
        <w:rPr>
          <w:rFonts w:ascii="宋体" w:eastAsia="宋体" w:hAnsi="宋体" w:hint="eastAsia"/>
          <w:szCs w:val="21"/>
        </w:rPr>
        <w:t>年</w:t>
      </w:r>
      <w:r w:rsidR="0068485E">
        <w:rPr>
          <w:rFonts w:ascii="宋体" w:eastAsia="宋体" w:hAnsi="宋体"/>
          <w:szCs w:val="21"/>
        </w:rPr>
        <w:t>9</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rsidTr="00861AD0">
        <w:trPr>
          <w:trHeight w:val="335"/>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5</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6</w:t>
      </w:r>
      <w:r>
        <w:rPr>
          <w:rFonts w:ascii="宋体" w:eastAsia="宋体" w:hAnsi="宋体" w:hint="eastAsia"/>
          <w:szCs w:val="21"/>
        </w:rPr>
        <w:t>）投标人对本项目的供货期、服务承诺、实施方案等承诺。（加盖单位公章）。</w:t>
      </w:r>
    </w:p>
    <w:p w:rsidR="00A62085" w:rsidRDefault="007E3033" w:rsidP="00C77842">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7</w:t>
      </w:r>
      <w:r>
        <w:rPr>
          <w:rFonts w:ascii="宋体" w:eastAsia="宋体" w:hAnsi="宋体" w:hint="eastAsia"/>
          <w:szCs w:val="21"/>
        </w:rPr>
        <w:t>）投标人应按照如下格式报价，加盖公章，并注明报价依据。</w:t>
      </w:r>
    </w:p>
    <w:p w:rsidR="00064290" w:rsidRPr="00064290" w:rsidRDefault="00064290" w:rsidP="00064290">
      <w:pPr>
        <w:ind w:firstLineChars="200" w:firstLine="480"/>
        <w:jc w:val="center"/>
        <w:rPr>
          <w:rFonts w:ascii="宋体" w:eastAsia="宋体" w:hAnsi="宋体"/>
          <w:sz w:val="24"/>
          <w:szCs w:val="21"/>
        </w:rPr>
      </w:pPr>
      <w:r w:rsidRPr="00064290">
        <w:rPr>
          <w:rFonts w:ascii="宋体" w:eastAsia="宋体" w:hAnsi="宋体" w:hint="eastAsia"/>
          <w:sz w:val="24"/>
          <w:szCs w:val="21"/>
        </w:rPr>
        <w:t>报价单</w:t>
      </w:r>
    </w:p>
    <w:tbl>
      <w:tblPr>
        <w:tblW w:w="5000" w:type="pct"/>
        <w:jc w:val="center"/>
        <w:tblLook w:val="0000" w:firstRow="0" w:lastRow="0" w:firstColumn="0" w:lastColumn="0" w:noHBand="0" w:noVBand="0"/>
      </w:tblPr>
      <w:tblGrid>
        <w:gridCol w:w="709"/>
        <w:gridCol w:w="1701"/>
        <w:gridCol w:w="2316"/>
        <w:gridCol w:w="796"/>
        <w:gridCol w:w="662"/>
        <w:gridCol w:w="927"/>
        <w:gridCol w:w="1185"/>
      </w:tblGrid>
      <w:tr w:rsidR="0068485E" w:rsidRPr="0068485E" w:rsidTr="00392392">
        <w:trPr>
          <w:trHeight w:val="395"/>
          <w:jc w:val="center"/>
        </w:trPr>
        <w:tc>
          <w:tcPr>
            <w:tcW w:w="427" w:type="pct"/>
            <w:tcBorders>
              <w:top w:val="single" w:sz="4" w:space="0" w:color="000000"/>
              <w:left w:val="single" w:sz="4" w:space="0" w:color="000000"/>
              <w:bottom w:val="single" w:sz="4" w:space="0" w:color="000000"/>
              <w:right w:val="single" w:sz="4" w:space="0" w:color="000000"/>
            </w:tcBorders>
          </w:tcPr>
          <w:p w:rsidR="0068485E" w:rsidRPr="0068485E" w:rsidRDefault="0068485E" w:rsidP="00064290">
            <w:pPr>
              <w:jc w:val="center"/>
              <w:rPr>
                <w:rFonts w:ascii="宋体" w:eastAsia="宋体" w:hAnsi="宋体"/>
                <w:szCs w:val="21"/>
              </w:rPr>
            </w:pPr>
            <w:r w:rsidRPr="0068485E">
              <w:rPr>
                <w:rFonts w:ascii="宋体" w:eastAsia="宋体" w:hAnsi="宋体" w:hint="eastAsia"/>
                <w:szCs w:val="21"/>
              </w:rPr>
              <w:t>序号</w:t>
            </w:r>
          </w:p>
        </w:tc>
        <w:tc>
          <w:tcPr>
            <w:tcW w:w="1025"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064290">
            <w:pPr>
              <w:jc w:val="center"/>
              <w:rPr>
                <w:rFonts w:ascii="宋体" w:eastAsia="宋体" w:hAnsi="宋体"/>
                <w:szCs w:val="21"/>
              </w:rPr>
            </w:pPr>
            <w:r w:rsidRPr="0068485E">
              <w:rPr>
                <w:rFonts w:ascii="宋体" w:eastAsia="宋体" w:hAnsi="宋体"/>
                <w:szCs w:val="21"/>
              </w:rPr>
              <w:t>产品名称</w:t>
            </w:r>
          </w:p>
        </w:tc>
        <w:tc>
          <w:tcPr>
            <w:tcW w:w="1396"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2E232F">
            <w:pPr>
              <w:jc w:val="center"/>
              <w:rPr>
                <w:rFonts w:ascii="宋体" w:eastAsia="宋体" w:hAnsi="宋体"/>
                <w:szCs w:val="21"/>
              </w:rPr>
            </w:pPr>
            <w:r w:rsidRPr="00A65009">
              <w:rPr>
                <w:rFonts w:ascii="宋体" w:eastAsia="宋体" w:hAnsi="宋体" w:hint="eastAsia"/>
                <w:szCs w:val="21"/>
              </w:rPr>
              <w:t>尺寸</w:t>
            </w:r>
          </w:p>
        </w:tc>
        <w:tc>
          <w:tcPr>
            <w:tcW w:w="480"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064290">
            <w:pPr>
              <w:jc w:val="center"/>
              <w:rPr>
                <w:rFonts w:ascii="宋体" w:eastAsia="宋体" w:hAnsi="宋体"/>
                <w:szCs w:val="21"/>
              </w:rPr>
            </w:pPr>
            <w:r w:rsidRPr="0068485E">
              <w:rPr>
                <w:rFonts w:ascii="宋体" w:eastAsia="宋体" w:hAnsi="宋体" w:hint="eastAsia"/>
                <w:szCs w:val="21"/>
              </w:rPr>
              <w:t>单位</w:t>
            </w:r>
          </w:p>
        </w:tc>
        <w:tc>
          <w:tcPr>
            <w:tcW w:w="399"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064290">
            <w:pPr>
              <w:jc w:val="center"/>
              <w:rPr>
                <w:rFonts w:ascii="宋体" w:eastAsia="宋体" w:hAnsi="宋体"/>
                <w:szCs w:val="21"/>
              </w:rPr>
            </w:pPr>
            <w:r w:rsidRPr="0068485E">
              <w:rPr>
                <w:rFonts w:ascii="宋体" w:eastAsia="宋体" w:hAnsi="宋体" w:hint="eastAsia"/>
                <w:szCs w:val="21"/>
              </w:rPr>
              <w:t>数量</w:t>
            </w:r>
          </w:p>
        </w:tc>
        <w:tc>
          <w:tcPr>
            <w:tcW w:w="559"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064290">
            <w:pPr>
              <w:jc w:val="center"/>
              <w:rPr>
                <w:rFonts w:ascii="宋体" w:eastAsia="宋体" w:hAnsi="宋体"/>
                <w:szCs w:val="21"/>
              </w:rPr>
            </w:pPr>
            <w:r w:rsidRPr="0068485E">
              <w:rPr>
                <w:rFonts w:ascii="宋体" w:eastAsia="宋体" w:hAnsi="宋体" w:hint="eastAsia"/>
                <w:szCs w:val="21"/>
              </w:rPr>
              <w:t>单价</w:t>
            </w:r>
          </w:p>
        </w:tc>
        <w:tc>
          <w:tcPr>
            <w:tcW w:w="714"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064290">
            <w:pPr>
              <w:jc w:val="center"/>
              <w:rPr>
                <w:rFonts w:ascii="宋体" w:eastAsia="宋体" w:hAnsi="宋体"/>
                <w:szCs w:val="21"/>
              </w:rPr>
            </w:pPr>
            <w:r w:rsidRPr="0068485E">
              <w:rPr>
                <w:rFonts w:ascii="宋体" w:eastAsia="宋体" w:hAnsi="宋体" w:hint="eastAsia"/>
                <w:szCs w:val="21"/>
              </w:rPr>
              <w:t>合计</w:t>
            </w:r>
          </w:p>
        </w:tc>
      </w:tr>
      <w:tr w:rsidR="00392392" w:rsidRPr="0068485E" w:rsidTr="00392392">
        <w:trPr>
          <w:trHeight w:val="294"/>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r w:rsidRPr="0068485E">
              <w:rPr>
                <w:rFonts w:ascii="宋体" w:eastAsia="宋体" w:hAnsi="宋体" w:hint="eastAsia"/>
                <w:szCs w:val="21"/>
              </w:rPr>
              <w:t>1</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甲级防火门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2E232F" w:rsidP="00392392">
            <w:pPr>
              <w:widowControl/>
              <w:jc w:val="center"/>
              <w:rPr>
                <w:rFonts w:ascii="宋体" w:eastAsia="宋体" w:hAnsi="宋体" w:cs="宋体"/>
                <w:color w:val="000000"/>
                <w:kern w:val="0"/>
                <w:sz w:val="18"/>
                <w:szCs w:val="18"/>
              </w:rPr>
            </w:pPr>
            <w:r w:rsidRPr="000F11BD">
              <w:rPr>
                <w:rFonts w:ascii="宋体" w:eastAsia="宋体" w:hAnsi="宋体" w:cs="宋体" w:hint="eastAsia"/>
                <w:kern w:val="0"/>
                <w:sz w:val="22"/>
              </w:rPr>
              <w:t>1200*2200mm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widowControl/>
              <w:jc w:val="center"/>
              <w:rPr>
                <w:rFonts w:ascii="宋体" w:eastAsia="宋体" w:hAnsi="宋体"/>
                <w:color w:val="000000"/>
                <w:kern w:val="0"/>
                <w:szCs w:val="21"/>
              </w:rPr>
            </w:pPr>
            <w:r>
              <w:rPr>
                <w:rFonts w:ascii="宋体" w:eastAsia="宋体" w:hAnsi="宋体"/>
                <w:color w:val="000000"/>
                <w:szCs w:val="21"/>
              </w:rPr>
              <w:t>1</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256"/>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r w:rsidRPr="0068485E">
              <w:rPr>
                <w:rFonts w:ascii="宋体" w:eastAsia="宋体" w:hAnsi="宋体" w:hint="eastAsia"/>
                <w:szCs w:val="21"/>
              </w:rPr>
              <w:t>2</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乙级防火门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6B6201"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1500*2200mm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jc w:val="center"/>
              <w:rPr>
                <w:rFonts w:ascii="宋体" w:eastAsia="宋体" w:hAnsi="宋体"/>
                <w:color w:val="000000"/>
                <w:szCs w:val="21"/>
              </w:rPr>
            </w:pPr>
            <w:r>
              <w:rPr>
                <w:rFonts w:ascii="宋体" w:eastAsia="宋体" w:hAnsi="宋体"/>
                <w:color w:val="000000"/>
                <w:szCs w:val="21"/>
              </w:rPr>
              <w:t>1</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742D5E" w:rsidP="00392392">
            <w:pPr>
              <w:jc w:val="center"/>
              <w:rPr>
                <w:rFonts w:ascii="宋体" w:eastAsia="宋体" w:hAnsi="宋体"/>
                <w:szCs w:val="21"/>
              </w:rPr>
            </w:pPr>
            <w:r>
              <w:rPr>
                <w:rFonts w:ascii="宋体" w:eastAsia="宋体" w:hAnsi="宋体"/>
                <w:szCs w:val="21"/>
              </w:rPr>
              <w:t>3</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木质门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6B6201"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1000*2200mm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392392" w:rsidP="00392392">
            <w:pPr>
              <w:widowControl/>
              <w:jc w:val="center"/>
              <w:rPr>
                <w:rFonts w:ascii="宋体" w:eastAsia="宋体" w:hAnsi="宋体" w:cs="宋体"/>
                <w:color w:val="000000"/>
                <w:kern w:val="0"/>
                <w:sz w:val="18"/>
                <w:szCs w:val="18"/>
              </w:rPr>
            </w:pPr>
            <w:r w:rsidRPr="00A65009">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392392" w:rsidP="00392392">
            <w:pPr>
              <w:jc w:val="center"/>
              <w:rPr>
                <w:rFonts w:ascii="宋体" w:eastAsia="宋体" w:hAnsi="宋体"/>
                <w:color w:val="000000"/>
                <w:szCs w:val="21"/>
              </w:rPr>
            </w:pPr>
            <w:r w:rsidRPr="0068485E">
              <w:rPr>
                <w:rFonts w:ascii="宋体" w:eastAsia="宋体" w:hAnsi="宋体" w:hint="eastAsia"/>
                <w:color w:val="000000"/>
                <w:szCs w:val="21"/>
              </w:rPr>
              <w:t>2</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742D5E" w:rsidP="00392392">
            <w:pPr>
              <w:jc w:val="center"/>
              <w:rPr>
                <w:rFonts w:ascii="宋体" w:eastAsia="宋体" w:hAnsi="宋体"/>
                <w:szCs w:val="21"/>
              </w:rPr>
            </w:pPr>
            <w:r>
              <w:rPr>
                <w:rFonts w:ascii="宋体" w:eastAsia="宋体" w:hAnsi="宋体"/>
                <w:szCs w:val="21"/>
              </w:rPr>
              <w:t>4</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木质门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6B6201"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1500*2200mm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jc w:val="center"/>
              <w:rPr>
                <w:rFonts w:ascii="宋体" w:eastAsia="宋体" w:hAnsi="宋体"/>
                <w:color w:val="000000"/>
                <w:szCs w:val="21"/>
              </w:rPr>
            </w:pPr>
            <w:r>
              <w:rPr>
                <w:rFonts w:ascii="宋体" w:eastAsia="宋体" w:hAnsi="宋体"/>
                <w:color w:val="000000"/>
                <w:szCs w:val="21"/>
              </w:rPr>
              <w:t>1</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742D5E" w:rsidP="00392392">
            <w:pPr>
              <w:jc w:val="center"/>
              <w:rPr>
                <w:rFonts w:ascii="宋体" w:eastAsia="宋体" w:hAnsi="宋体"/>
                <w:szCs w:val="21"/>
              </w:rPr>
            </w:pPr>
            <w:r>
              <w:rPr>
                <w:rFonts w:ascii="宋体" w:eastAsia="宋体" w:hAnsi="宋体"/>
                <w:szCs w:val="21"/>
              </w:rPr>
              <w:t>5</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钢制气密门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302E06"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1000*2200mm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jc w:val="center"/>
              <w:rPr>
                <w:rFonts w:ascii="宋体" w:eastAsia="宋体" w:hAnsi="宋体"/>
                <w:color w:val="000000"/>
                <w:szCs w:val="21"/>
              </w:rPr>
            </w:pPr>
            <w:r>
              <w:rPr>
                <w:rFonts w:ascii="宋体" w:eastAsia="宋体" w:hAnsi="宋体"/>
                <w:color w:val="000000"/>
                <w:szCs w:val="21"/>
              </w:rPr>
              <w:t>12</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742D5E" w:rsidP="00392392">
            <w:pPr>
              <w:jc w:val="center"/>
              <w:rPr>
                <w:rFonts w:ascii="宋体" w:eastAsia="宋体" w:hAnsi="宋体"/>
                <w:szCs w:val="21"/>
              </w:rPr>
            </w:pPr>
            <w:r>
              <w:rPr>
                <w:rFonts w:ascii="宋体" w:eastAsia="宋体" w:hAnsi="宋体"/>
                <w:szCs w:val="21"/>
              </w:rPr>
              <w:t>6</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钢制气密门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302E06"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1500*2200mm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jc w:val="center"/>
              <w:rPr>
                <w:rFonts w:ascii="宋体" w:eastAsia="宋体" w:hAnsi="宋体"/>
                <w:color w:val="000000"/>
                <w:szCs w:val="21"/>
              </w:rPr>
            </w:pPr>
            <w:r>
              <w:rPr>
                <w:rFonts w:ascii="宋体" w:eastAsia="宋体" w:hAnsi="宋体"/>
                <w:color w:val="000000"/>
                <w:szCs w:val="21"/>
              </w:rPr>
              <w:t>4</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742D5E" w:rsidP="00392392">
            <w:pPr>
              <w:jc w:val="center"/>
              <w:rPr>
                <w:rFonts w:ascii="宋体" w:eastAsia="宋体" w:hAnsi="宋体"/>
                <w:szCs w:val="21"/>
              </w:rPr>
            </w:pPr>
            <w:r>
              <w:rPr>
                <w:rFonts w:ascii="宋体" w:eastAsia="宋体" w:hAnsi="宋体"/>
                <w:szCs w:val="21"/>
              </w:rPr>
              <w:t>7</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传递窗</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302E06"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600*600*600mm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392392" w:rsidP="00392392">
            <w:pPr>
              <w:widowControl/>
              <w:jc w:val="center"/>
              <w:rPr>
                <w:rFonts w:ascii="宋体" w:eastAsia="宋体" w:hAnsi="宋体" w:cs="宋体"/>
                <w:color w:val="000000"/>
                <w:kern w:val="0"/>
                <w:sz w:val="18"/>
                <w:szCs w:val="18"/>
              </w:rPr>
            </w:pPr>
            <w:r w:rsidRPr="00A65009">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jc w:val="center"/>
              <w:rPr>
                <w:rFonts w:ascii="宋体" w:eastAsia="宋体" w:hAnsi="宋体"/>
                <w:color w:val="000000"/>
                <w:szCs w:val="21"/>
              </w:rPr>
            </w:pPr>
            <w:r>
              <w:rPr>
                <w:rFonts w:ascii="宋体" w:eastAsia="宋体" w:hAnsi="宋体"/>
                <w:color w:val="000000"/>
                <w:szCs w:val="21"/>
              </w:rPr>
              <w:t>8</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742D5E"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742D5E" w:rsidRDefault="00742D5E" w:rsidP="00392392">
            <w:pPr>
              <w:jc w:val="center"/>
              <w:rPr>
                <w:rFonts w:ascii="宋体" w:eastAsia="宋体" w:hAnsi="宋体"/>
                <w:szCs w:val="21"/>
              </w:rPr>
            </w:pPr>
            <w:r>
              <w:rPr>
                <w:rFonts w:ascii="宋体" w:eastAsia="宋体" w:hAnsi="宋体" w:hint="eastAsia"/>
                <w:szCs w:val="21"/>
              </w:rPr>
              <w:t>8</w:t>
            </w:r>
          </w:p>
        </w:tc>
        <w:tc>
          <w:tcPr>
            <w:tcW w:w="1025" w:type="pct"/>
            <w:tcBorders>
              <w:top w:val="single" w:sz="4" w:space="0" w:color="000000"/>
              <w:left w:val="single" w:sz="4" w:space="0" w:color="000000"/>
              <w:bottom w:val="single" w:sz="4" w:space="0" w:color="000000"/>
              <w:right w:val="single" w:sz="4" w:space="0" w:color="000000"/>
            </w:tcBorders>
            <w:vAlign w:val="center"/>
          </w:tcPr>
          <w:p w:rsidR="00742D5E" w:rsidRPr="000F11BD" w:rsidRDefault="00742D5E" w:rsidP="00742D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防火门</w:t>
            </w:r>
          </w:p>
        </w:tc>
        <w:tc>
          <w:tcPr>
            <w:tcW w:w="1396" w:type="pct"/>
            <w:tcBorders>
              <w:top w:val="single" w:sz="4" w:space="0" w:color="000000"/>
              <w:left w:val="single" w:sz="4" w:space="0" w:color="000000"/>
              <w:bottom w:val="single" w:sz="4" w:space="0" w:color="000000"/>
              <w:right w:val="single" w:sz="4" w:space="0" w:color="000000"/>
            </w:tcBorders>
            <w:vAlign w:val="center"/>
          </w:tcPr>
          <w:p w:rsidR="00742D5E" w:rsidRPr="00A65009" w:rsidRDefault="00302E06"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1125*2080mm</w:t>
            </w:r>
          </w:p>
        </w:tc>
        <w:tc>
          <w:tcPr>
            <w:tcW w:w="480" w:type="pct"/>
            <w:tcBorders>
              <w:top w:val="single" w:sz="4" w:space="0" w:color="000000"/>
              <w:left w:val="single" w:sz="4" w:space="0" w:color="000000"/>
              <w:bottom w:val="single" w:sz="4" w:space="0" w:color="000000"/>
              <w:right w:val="single" w:sz="4" w:space="0" w:color="000000"/>
            </w:tcBorders>
            <w:vAlign w:val="center"/>
          </w:tcPr>
          <w:p w:rsidR="00742D5E"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742D5E" w:rsidRPr="0068485E" w:rsidRDefault="008E397E" w:rsidP="00392392">
            <w:pPr>
              <w:jc w:val="center"/>
              <w:rPr>
                <w:rFonts w:ascii="宋体" w:eastAsia="宋体" w:hAnsi="宋体"/>
                <w:color w:val="000000"/>
                <w:szCs w:val="21"/>
              </w:rPr>
            </w:pPr>
            <w:r>
              <w:rPr>
                <w:rFonts w:ascii="宋体" w:eastAsia="宋体" w:hAnsi="宋体" w:hint="eastAsia"/>
                <w:color w:val="000000"/>
                <w:szCs w:val="21"/>
              </w:rPr>
              <w:t>3</w:t>
            </w:r>
          </w:p>
        </w:tc>
        <w:tc>
          <w:tcPr>
            <w:tcW w:w="559" w:type="pct"/>
            <w:tcBorders>
              <w:top w:val="single" w:sz="4" w:space="0" w:color="000000"/>
              <w:left w:val="single" w:sz="4" w:space="0" w:color="000000"/>
              <w:bottom w:val="single" w:sz="4" w:space="0" w:color="000000"/>
              <w:right w:val="single" w:sz="4" w:space="0" w:color="000000"/>
            </w:tcBorders>
          </w:tcPr>
          <w:p w:rsidR="00742D5E" w:rsidRPr="0068485E" w:rsidRDefault="00742D5E"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742D5E" w:rsidRPr="0068485E" w:rsidRDefault="00742D5E" w:rsidP="00392392">
            <w:pPr>
              <w:jc w:val="center"/>
              <w:rPr>
                <w:rFonts w:ascii="宋体" w:eastAsia="宋体" w:hAnsi="宋体"/>
                <w:szCs w:val="21"/>
              </w:rPr>
            </w:pPr>
          </w:p>
        </w:tc>
      </w:tr>
      <w:tr w:rsidR="00392392" w:rsidRPr="0068485E" w:rsidTr="00392392">
        <w:trPr>
          <w:trHeight w:val="419"/>
          <w:jc w:val="center"/>
        </w:trPr>
        <w:tc>
          <w:tcPr>
            <w:tcW w:w="5000" w:type="pct"/>
            <w:gridSpan w:val="7"/>
            <w:tcBorders>
              <w:top w:val="single" w:sz="4" w:space="0" w:color="000000"/>
              <w:left w:val="single" w:sz="4" w:space="0" w:color="000000"/>
              <w:bottom w:val="single" w:sz="4" w:space="0" w:color="000000"/>
              <w:right w:val="single" w:sz="4" w:space="0" w:color="000000"/>
            </w:tcBorders>
          </w:tcPr>
          <w:p w:rsidR="00392392" w:rsidRPr="0068485E" w:rsidRDefault="002775E3" w:rsidP="00064290">
            <w:pPr>
              <w:jc w:val="left"/>
              <w:rPr>
                <w:rFonts w:ascii="宋体" w:eastAsia="宋体" w:hAnsi="宋体"/>
                <w:szCs w:val="21"/>
              </w:rPr>
            </w:pPr>
            <w:r>
              <w:rPr>
                <w:rFonts w:ascii="宋体" w:eastAsia="宋体" w:hAnsi="宋体" w:hint="eastAsia"/>
                <w:szCs w:val="21"/>
              </w:rPr>
              <w:t xml:space="preserve">报价：大写金额 </w:t>
            </w:r>
            <w:r>
              <w:rPr>
                <w:rFonts w:ascii="宋体" w:eastAsia="宋体" w:hAnsi="宋体"/>
                <w:szCs w:val="21"/>
              </w:rPr>
              <w:t xml:space="preserve">                         </w:t>
            </w:r>
            <w:r>
              <w:rPr>
                <w:rFonts w:ascii="宋体" w:eastAsia="宋体" w:hAnsi="宋体" w:hint="eastAsia"/>
                <w:szCs w:val="21"/>
              </w:rPr>
              <w:t>小写金额</w:t>
            </w:r>
          </w:p>
        </w:tc>
      </w:tr>
    </w:tbl>
    <w:p w:rsidR="00A62085" w:rsidRDefault="007E3033" w:rsidP="00064290">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w:t>
      </w:r>
      <w:r w:rsidR="00615C69">
        <w:rPr>
          <w:rFonts w:ascii="宋体" w:eastAsia="宋体" w:hAnsi="宋体" w:hint="eastAsia"/>
          <w:szCs w:val="21"/>
        </w:rPr>
        <w:t>1</w:t>
      </w:r>
      <w:r>
        <w:rPr>
          <w:rFonts w:ascii="宋体" w:eastAsia="宋体" w:hAnsi="宋体" w:hint="eastAsia"/>
          <w:szCs w:val="21"/>
        </w:rPr>
        <w:t>式</w:t>
      </w:r>
      <w:r w:rsidR="00615C69">
        <w:rPr>
          <w:rFonts w:ascii="宋体" w:eastAsia="宋体" w:hAnsi="宋体" w:hint="eastAsia"/>
          <w:szCs w:val="21"/>
        </w:rPr>
        <w:t>4</w:t>
      </w:r>
      <w:r>
        <w:rPr>
          <w:rFonts w:ascii="宋体" w:eastAsia="宋体" w:hAnsi="宋体" w:hint="eastAsia"/>
          <w:szCs w:val="21"/>
        </w:rPr>
        <w:t>份（</w:t>
      </w:r>
      <w:r w:rsidR="00615C69">
        <w:rPr>
          <w:rFonts w:ascii="宋体" w:eastAsia="宋体" w:hAnsi="宋体" w:hint="eastAsia"/>
          <w:szCs w:val="21"/>
        </w:rPr>
        <w:t>1</w:t>
      </w:r>
      <w:r>
        <w:rPr>
          <w:rFonts w:ascii="宋体" w:eastAsia="宋体" w:hAnsi="宋体" w:hint="eastAsia"/>
          <w:szCs w:val="21"/>
        </w:rPr>
        <w:t>份正本</w:t>
      </w:r>
      <w:r w:rsidR="00615C69">
        <w:rPr>
          <w:rFonts w:ascii="宋体" w:eastAsia="宋体" w:hAnsi="宋体" w:hint="eastAsia"/>
          <w:szCs w:val="21"/>
        </w:rPr>
        <w:t>3</w:t>
      </w:r>
      <w:r>
        <w:rPr>
          <w:rFonts w:ascii="宋体" w:eastAsia="宋体" w:hAnsi="宋体" w:hint="eastAsia"/>
          <w:szCs w:val="21"/>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A418D"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w:t>
      </w:r>
      <w:r w:rsidR="00AA418D">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lastRenderedPageBreak/>
        <w:t>1</w:t>
      </w:r>
      <w:r>
        <w:rPr>
          <w:rFonts w:ascii="宋体" w:eastAsia="宋体" w:hAnsi="宋体" w:hint="eastAsia"/>
          <w:szCs w:val="21"/>
        </w:rPr>
        <w:t>、本项目评标委员会由院内科室的评标专家组成，成员</w:t>
      </w:r>
      <w:r w:rsidR="00F86242">
        <w:rPr>
          <w:rFonts w:ascii="宋体" w:eastAsia="宋体" w:hAnsi="宋体"/>
          <w:szCs w:val="21"/>
        </w:rPr>
        <w:t>3</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4281"/>
        <w:gridCol w:w="851"/>
      </w:tblGrid>
      <w:tr w:rsidR="00CF358D" w:rsidRPr="0088470B" w:rsidTr="00861AD0">
        <w:trPr>
          <w:trHeight w:val="397"/>
          <w:jc w:val="center"/>
        </w:trPr>
        <w:tc>
          <w:tcPr>
            <w:tcW w:w="1242"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项</w:t>
            </w:r>
            <w:r w:rsidRPr="0088470B">
              <w:rPr>
                <w:rFonts w:ascii="宋体" w:eastAsia="宋体" w:hAnsi="宋体" w:hint="eastAsia"/>
                <w:szCs w:val="21"/>
              </w:rPr>
              <w:t>目</w:t>
            </w:r>
          </w:p>
        </w:tc>
        <w:tc>
          <w:tcPr>
            <w:tcW w:w="1418"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评审因素</w:t>
            </w:r>
          </w:p>
        </w:tc>
        <w:tc>
          <w:tcPr>
            <w:tcW w:w="4281" w:type="dxa"/>
            <w:vAlign w:val="center"/>
          </w:tcPr>
          <w:p w:rsidR="00CF358D" w:rsidRPr="0088470B" w:rsidRDefault="00CF358D" w:rsidP="007F0910">
            <w:pPr>
              <w:spacing w:line="276" w:lineRule="auto"/>
              <w:ind w:firstLineChars="450" w:firstLine="945"/>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标准说明</w:t>
            </w:r>
          </w:p>
        </w:tc>
        <w:tc>
          <w:tcPr>
            <w:tcW w:w="851"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分值</w:t>
            </w:r>
          </w:p>
        </w:tc>
      </w:tr>
      <w:tr w:rsidR="00CF358D" w:rsidRPr="0088470B" w:rsidTr="00861AD0">
        <w:trPr>
          <w:trHeight w:val="1268"/>
          <w:jc w:val="center"/>
        </w:trPr>
        <w:tc>
          <w:tcPr>
            <w:tcW w:w="1242"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价格部分</w:t>
            </w:r>
          </w:p>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w:t>
            </w:r>
            <w:r w:rsidR="004F63A7" w:rsidRPr="0088470B">
              <w:rPr>
                <w:rFonts w:ascii="宋体" w:eastAsia="宋体" w:hAnsi="宋体"/>
                <w:szCs w:val="21"/>
              </w:rPr>
              <w:t>3</w:t>
            </w:r>
            <w:r w:rsidRPr="0088470B">
              <w:rPr>
                <w:rFonts w:ascii="宋体" w:eastAsia="宋体" w:hAnsi="宋体" w:hint="eastAsia"/>
                <w:szCs w:val="21"/>
              </w:rPr>
              <w:t>0分）</w:t>
            </w:r>
          </w:p>
        </w:tc>
        <w:tc>
          <w:tcPr>
            <w:tcW w:w="1418" w:type="dxa"/>
            <w:vAlign w:val="center"/>
          </w:tcPr>
          <w:p w:rsidR="00CF358D" w:rsidRPr="0088470B" w:rsidRDefault="00CF358D" w:rsidP="007F0910">
            <w:pPr>
              <w:widowControl/>
              <w:spacing w:line="276" w:lineRule="auto"/>
              <w:jc w:val="center"/>
              <w:rPr>
                <w:rFonts w:ascii="宋体" w:eastAsia="宋体" w:hAnsi="宋体"/>
                <w:szCs w:val="21"/>
              </w:rPr>
            </w:pPr>
            <w:r w:rsidRPr="0088470B">
              <w:rPr>
                <w:rFonts w:ascii="宋体" w:eastAsia="宋体" w:hAnsi="宋体" w:hint="eastAsia"/>
                <w:szCs w:val="21"/>
              </w:rPr>
              <w:t>价格分</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满足采购文件需求的最低投标报价为评标基准价，其价格为满分。其他合格投标人的价格</w:t>
            </w:r>
            <w:proofErr w:type="gramStart"/>
            <w:r w:rsidRPr="0088470B">
              <w:rPr>
                <w:rFonts w:ascii="宋体" w:eastAsia="宋体" w:hAnsi="宋体" w:hint="eastAsia"/>
                <w:szCs w:val="21"/>
              </w:rPr>
              <w:t>分统一</w:t>
            </w:r>
            <w:proofErr w:type="gramEnd"/>
            <w:r w:rsidRPr="0088470B">
              <w:rPr>
                <w:rFonts w:ascii="宋体" w:eastAsia="宋体" w:hAnsi="宋体" w:hint="eastAsia"/>
                <w:szCs w:val="21"/>
              </w:rPr>
              <w:t>按照下列公式计算：投标报价得分＝（评标基准价/投标报价）×100%×</w:t>
            </w:r>
            <w:r w:rsidR="004F63A7" w:rsidRPr="0088470B">
              <w:rPr>
                <w:rFonts w:ascii="宋体" w:eastAsia="宋体" w:hAnsi="宋体"/>
                <w:szCs w:val="21"/>
              </w:rPr>
              <w:t>3</w:t>
            </w:r>
            <w:r w:rsidRPr="0088470B">
              <w:rPr>
                <w:rFonts w:ascii="宋体" w:eastAsia="宋体" w:hAnsi="宋体" w:hint="eastAsia"/>
                <w:szCs w:val="21"/>
              </w:rPr>
              <w:t>0。</w:t>
            </w:r>
          </w:p>
        </w:tc>
        <w:tc>
          <w:tcPr>
            <w:tcW w:w="851" w:type="dxa"/>
            <w:vAlign w:val="center"/>
          </w:tcPr>
          <w:p w:rsidR="00CF358D" w:rsidRPr="0088470B" w:rsidRDefault="004F63A7" w:rsidP="007F0910">
            <w:pPr>
              <w:spacing w:line="276" w:lineRule="auto"/>
              <w:ind w:firstLineChars="100" w:firstLine="210"/>
              <w:rPr>
                <w:rFonts w:ascii="宋体" w:eastAsia="宋体" w:hAnsi="宋体"/>
                <w:szCs w:val="21"/>
              </w:rPr>
            </w:pPr>
            <w:r w:rsidRPr="0088470B">
              <w:rPr>
                <w:rFonts w:ascii="宋体" w:eastAsia="宋体" w:hAnsi="宋体"/>
                <w:szCs w:val="21"/>
              </w:rPr>
              <w:t>3</w:t>
            </w:r>
            <w:r w:rsidR="00CF358D" w:rsidRPr="0088470B">
              <w:rPr>
                <w:rFonts w:ascii="宋体" w:eastAsia="宋体" w:hAnsi="宋体" w:hint="eastAsia"/>
                <w:szCs w:val="21"/>
              </w:rPr>
              <w:t>0</w:t>
            </w:r>
          </w:p>
        </w:tc>
      </w:tr>
      <w:tr w:rsidR="00CF358D" w:rsidRPr="0088470B" w:rsidTr="0088470B">
        <w:trPr>
          <w:trHeight w:val="1452"/>
          <w:jc w:val="center"/>
        </w:trPr>
        <w:tc>
          <w:tcPr>
            <w:tcW w:w="1242" w:type="dxa"/>
            <w:vMerge w:val="restart"/>
            <w:vAlign w:val="center"/>
          </w:tcPr>
          <w:p w:rsidR="00CF358D" w:rsidRDefault="003C556D" w:rsidP="007F0910">
            <w:pPr>
              <w:spacing w:line="276" w:lineRule="auto"/>
              <w:jc w:val="center"/>
              <w:rPr>
                <w:rFonts w:ascii="宋体" w:eastAsia="宋体" w:hAnsi="宋体"/>
                <w:szCs w:val="21"/>
              </w:rPr>
            </w:pPr>
            <w:r>
              <w:rPr>
                <w:rFonts w:ascii="宋体" w:eastAsia="宋体" w:hAnsi="宋体" w:hint="eastAsia"/>
                <w:szCs w:val="21"/>
              </w:rPr>
              <w:t>商务部分</w:t>
            </w:r>
          </w:p>
          <w:p w:rsidR="003C556D" w:rsidRPr="0088470B" w:rsidRDefault="003C556D" w:rsidP="007F0910">
            <w:pPr>
              <w:spacing w:line="276" w:lineRule="auto"/>
              <w:jc w:val="center"/>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分）</w:t>
            </w:r>
          </w:p>
        </w:tc>
        <w:tc>
          <w:tcPr>
            <w:tcW w:w="1418" w:type="dxa"/>
            <w:vAlign w:val="center"/>
          </w:tcPr>
          <w:p w:rsidR="00CF358D" w:rsidRPr="0088470B" w:rsidRDefault="00CF358D" w:rsidP="007F0910">
            <w:pPr>
              <w:widowControl/>
              <w:spacing w:line="276" w:lineRule="auto"/>
              <w:rPr>
                <w:rFonts w:ascii="宋体" w:eastAsia="宋体" w:hAnsi="宋体"/>
                <w:szCs w:val="21"/>
              </w:rPr>
            </w:pPr>
            <w:r w:rsidRPr="0088470B">
              <w:rPr>
                <w:rFonts w:ascii="宋体" w:eastAsia="宋体" w:hAnsi="宋体" w:hint="eastAsia"/>
                <w:szCs w:val="21"/>
              </w:rPr>
              <w:t>投标人类似项目案例</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提供近三年内（20</w:t>
            </w:r>
            <w:r w:rsidR="00782827">
              <w:rPr>
                <w:rFonts w:ascii="宋体" w:eastAsia="宋体" w:hAnsi="宋体"/>
                <w:szCs w:val="21"/>
              </w:rPr>
              <w:t>2</w:t>
            </w:r>
            <w:r w:rsidR="003D5E82">
              <w:rPr>
                <w:rFonts w:ascii="宋体" w:eastAsia="宋体" w:hAnsi="宋体"/>
                <w:szCs w:val="21"/>
              </w:rPr>
              <w:t>2</w:t>
            </w:r>
            <w:r w:rsidR="009623CC">
              <w:rPr>
                <w:rFonts w:ascii="宋体" w:eastAsia="宋体" w:hAnsi="宋体" w:hint="eastAsia"/>
                <w:szCs w:val="21"/>
              </w:rPr>
              <w:t>年</w:t>
            </w:r>
            <w:r w:rsidR="003D5E82">
              <w:rPr>
                <w:rFonts w:ascii="宋体" w:eastAsia="宋体" w:hAnsi="宋体"/>
                <w:szCs w:val="21"/>
              </w:rPr>
              <w:t>9</w:t>
            </w:r>
            <w:r w:rsidR="009623CC">
              <w:rPr>
                <w:rFonts w:ascii="宋体" w:eastAsia="宋体" w:hAnsi="宋体" w:hint="eastAsia"/>
                <w:szCs w:val="21"/>
              </w:rPr>
              <w:t>月至今</w:t>
            </w:r>
            <w:r w:rsidRPr="0088470B">
              <w:rPr>
                <w:rFonts w:ascii="宋体" w:eastAsia="宋体" w:hAnsi="宋体" w:hint="eastAsia"/>
                <w:szCs w:val="21"/>
              </w:rPr>
              <w:t>）</w:t>
            </w:r>
            <w:r w:rsidRPr="0088470B">
              <w:rPr>
                <w:rFonts w:ascii="宋体" w:eastAsia="宋体" w:hAnsi="宋体"/>
                <w:szCs w:val="21"/>
              </w:rPr>
              <w:t>承担过同等类似项目业绩（</w:t>
            </w:r>
            <w:r w:rsidRPr="0088470B">
              <w:rPr>
                <w:rFonts w:ascii="宋体" w:eastAsia="宋体" w:hAnsi="宋体" w:hint="eastAsia"/>
                <w:szCs w:val="21"/>
              </w:rPr>
              <w:t>需提供合同复印件，包含合同首页、合同金额页和签字盖章页</w:t>
            </w:r>
            <w:r w:rsidRPr="0088470B">
              <w:rPr>
                <w:rFonts w:ascii="宋体" w:eastAsia="宋体" w:hAnsi="宋体"/>
                <w:szCs w:val="21"/>
              </w:rPr>
              <w:t>）。</w:t>
            </w:r>
            <w:r w:rsidRPr="0088470B">
              <w:rPr>
                <w:rFonts w:ascii="宋体" w:eastAsia="宋体" w:hAnsi="宋体" w:hint="eastAsia"/>
                <w:szCs w:val="21"/>
              </w:rPr>
              <w:t>有一个得2分，最多得10分，没有不得分。</w:t>
            </w:r>
          </w:p>
        </w:tc>
        <w:tc>
          <w:tcPr>
            <w:tcW w:w="851" w:type="dxa"/>
            <w:vAlign w:val="center"/>
          </w:tcPr>
          <w:p w:rsidR="00CF358D" w:rsidRPr="0088470B" w:rsidRDefault="00CF358D" w:rsidP="007F0910">
            <w:pPr>
              <w:spacing w:line="276" w:lineRule="auto"/>
              <w:ind w:firstLineChars="100" w:firstLine="210"/>
              <w:rPr>
                <w:rFonts w:ascii="宋体" w:eastAsia="宋体" w:hAnsi="宋体"/>
                <w:szCs w:val="21"/>
              </w:rPr>
            </w:pPr>
            <w:r w:rsidRPr="0088470B">
              <w:rPr>
                <w:rFonts w:ascii="宋体" w:eastAsia="宋体" w:hAnsi="宋体" w:hint="eastAsia"/>
                <w:szCs w:val="21"/>
              </w:rPr>
              <w:t>10</w:t>
            </w:r>
          </w:p>
        </w:tc>
      </w:tr>
      <w:tr w:rsidR="00CF358D" w:rsidRPr="0088470B" w:rsidTr="00196157">
        <w:trPr>
          <w:trHeight w:val="1094"/>
          <w:jc w:val="center"/>
        </w:trPr>
        <w:tc>
          <w:tcPr>
            <w:tcW w:w="1242" w:type="dxa"/>
            <w:vMerge/>
            <w:vAlign w:val="center"/>
          </w:tcPr>
          <w:p w:rsidR="00CF358D" w:rsidRPr="0088470B" w:rsidRDefault="00CF358D" w:rsidP="007F0910">
            <w:pPr>
              <w:spacing w:line="276" w:lineRule="auto"/>
              <w:jc w:val="center"/>
              <w:rPr>
                <w:rFonts w:ascii="宋体" w:eastAsia="宋体" w:hAnsi="宋体"/>
                <w:szCs w:val="21"/>
              </w:rPr>
            </w:pPr>
          </w:p>
        </w:tc>
        <w:tc>
          <w:tcPr>
            <w:tcW w:w="1418" w:type="dxa"/>
            <w:vAlign w:val="center"/>
          </w:tcPr>
          <w:p w:rsidR="00CF358D" w:rsidRPr="0088470B" w:rsidRDefault="00CF358D" w:rsidP="007F0910">
            <w:pPr>
              <w:widowControl/>
              <w:spacing w:line="276" w:lineRule="auto"/>
              <w:rPr>
                <w:rFonts w:ascii="宋体" w:eastAsia="宋体" w:hAnsi="宋体"/>
                <w:szCs w:val="21"/>
              </w:rPr>
            </w:pPr>
            <w:r w:rsidRPr="0088470B">
              <w:rPr>
                <w:rFonts w:ascii="宋体" w:eastAsia="宋体" w:hAnsi="宋体" w:hint="eastAsia"/>
                <w:szCs w:val="21"/>
              </w:rPr>
              <w:t>管理体系认证</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投标人具有质量管理体系、环境管理体系、职业健康安全管理体系认证证书，每有一项得</w:t>
            </w:r>
            <w:r w:rsidR="003D5E82">
              <w:rPr>
                <w:rFonts w:ascii="宋体" w:eastAsia="宋体" w:hAnsi="宋体"/>
                <w:szCs w:val="21"/>
              </w:rPr>
              <w:t>2</w:t>
            </w:r>
            <w:r w:rsidRPr="0088470B">
              <w:rPr>
                <w:rFonts w:ascii="宋体" w:eastAsia="宋体" w:hAnsi="宋体" w:hint="eastAsia"/>
                <w:szCs w:val="21"/>
              </w:rPr>
              <w:t>分，最高</w:t>
            </w:r>
            <w:r w:rsidR="00115C02">
              <w:rPr>
                <w:rFonts w:ascii="宋体" w:eastAsia="宋体" w:hAnsi="宋体"/>
                <w:szCs w:val="21"/>
              </w:rPr>
              <w:t>6</w:t>
            </w:r>
            <w:r w:rsidRPr="0088470B">
              <w:rPr>
                <w:rFonts w:ascii="宋体" w:eastAsia="宋体" w:hAnsi="宋体" w:hint="eastAsia"/>
                <w:szCs w:val="21"/>
              </w:rPr>
              <w:t>分。</w:t>
            </w:r>
          </w:p>
        </w:tc>
        <w:tc>
          <w:tcPr>
            <w:tcW w:w="851" w:type="dxa"/>
            <w:vAlign w:val="center"/>
          </w:tcPr>
          <w:p w:rsidR="00CF358D" w:rsidRPr="0088470B" w:rsidRDefault="00115C02" w:rsidP="007F0910">
            <w:pPr>
              <w:spacing w:line="276" w:lineRule="auto"/>
              <w:ind w:firstLineChars="133" w:firstLine="279"/>
              <w:rPr>
                <w:rFonts w:ascii="宋体" w:eastAsia="宋体" w:hAnsi="宋体"/>
                <w:szCs w:val="21"/>
              </w:rPr>
            </w:pPr>
            <w:r>
              <w:rPr>
                <w:rFonts w:ascii="宋体" w:eastAsia="宋体" w:hAnsi="宋体"/>
                <w:szCs w:val="21"/>
              </w:rPr>
              <w:t>6</w:t>
            </w:r>
          </w:p>
        </w:tc>
      </w:tr>
      <w:tr w:rsidR="00A65802" w:rsidRPr="0088470B" w:rsidTr="00861AD0">
        <w:trPr>
          <w:trHeight w:val="972"/>
          <w:jc w:val="center"/>
        </w:trPr>
        <w:tc>
          <w:tcPr>
            <w:tcW w:w="1242" w:type="dxa"/>
            <w:vMerge w:val="restart"/>
            <w:vAlign w:val="center"/>
          </w:tcPr>
          <w:p w:rsidR="00A65802" w:rsidRPr="0088470B" w:rsidRDefault="00A65802" w:rsidP="007F0910">
            <w:pPr>
              <w:spacing w:line="276" w:lineRule="auto"/>
              <w:rPr>
                <w:rFonts w:ascii="宋体" w:eastAsia="宋体" w:hAnsi="宋体"/>
                <w:szCs w:val="21"/>
              </w:rPr>
            </w:pPr>
            <w:r w:rsidRPr="0088470B">
              <w:rPr>
                <w:rFonts w:ascii="宋体" w:eastAsia="宋体" w:hAnsi="宋体" w:hint="eastAsia"/>
                <w:szCs w:val="21"/>
              </w:rPr>
              <w:t>技术部分（</w:t>
            </w:r>
            <w:r w:rsidR="00620B9F">
              <w:rPr>
                <w:rFonts w:ascii="宋体" w:eastAsia="宋体" w:hAnsi="宋体"/>
                <w:szCs w:val="21"/>
              </w:rPr>
              <w:t>5</w:t>
            </w:r>
            <w:r w:rsidR="007C4DF1">
              <w:rPr>
                <w:rFonts w:ascii="宋体" w:eastAsia="宋体" w:hAnsi="宋体"/>
                <w:szCs w:val="21"/>
              </w:rPr>
              <w:t>4</w:t>
            </w:r>
            <w:r w:rsidRPr="0088470B">
              <w:rPr>
                <w:rFonts w:ascii="宋体" w:eastAsia="宋体" w:hAnsi="宋体" w:hint="eastAsia"/>
                <w:szCs w:val="21"/>
              </w:rPr>
              <w:t>分）</w:t>
            </w:r>
          </w:p>
        </w:tc>
        <w:tc>
          <w:tcPr>
            <w:tcW w:w="1418" w:type="dxa"/>
            <w:vAlign w:val="center"/>
          </w:tcPr>
          <w:p w:rsidR="00480AE9" w:rsidRDefault="00480AE9" w:rsidP="00480AE9">
            <w:pPr>
              <w:widowControl/>
              <w:rPr>
                <w:rFonts w:ascii="宋体" w:eastAsia="宋体" w:hAnsi="宋体"/>
                <w:szCs w:val="21"/>
              </w:rPr>
            </w:pPr>
            <w:r>
              <w:rPr>
                <w:rFonts w:ascii="宋体" w:eastAsia="宋体" w:hAnsi="宋体" w:hint="eastAsia"/>
                <w:szCs w:val="21"/>
              </w:rPr>
              <w:t>技术参数</w:t>
            </w:r>
          </w:p>
          <w:p w:rsidR="00A65802" w:rsidRPr="0088470B" w:rsidRDefault="00480AE9" w:rsidP="00480AE9">
            <w:pPr>
              <w:spacing w:line="276" w:lineRule="auto"/>
              <w:rPr>
                <w:rFonts w:ascii="宋体" w:eastAsia="宋体" w:hAnsi="宋体"/>
                <w:szCs w:val="21"/>
              </w:rPr>
            </w:pPr>
            <w:r>
              <w:rPr>
                <w:rFonts w:ascii="宋体" w:eastAsia="宋体" w:hAnsi="宋体" w:hint="eastAsia"/>
                <w:szCs w:val="21"/>
              </w:rPr>
              <w:t>响应情况</w:t>
            </w:r>
          </w:p>
        </w:tc>
        <w:tc>
          <w:tcPr>
            <w:tcW w:w="4281" w:type="dxa"/>
            <w:vAlign w:val="center"/>
          </w:tcPr>
          <w:p w:rsidR="00A65802" w:rsidRPr="0088470B" w:rsidRDefault="00A65802" w:rsidP="00861AD0">
            <w:pPr>
              <w:rPr>
                <w:rFonts w:ascii="宋体" w:eastAsia="宋体" w:hAnsi="宋体"/>
                <w:szCs w:val="21"/>
              </w:rPr>
            </w:pPr>
            <w:r>
              <w:rPr>
                <w:rFonts w:ascii="宋体" w:eastAsia="宋体" w:hAnsi="宋体" w:hint="eastAsia"/>
                <w:szCs w:val="21"/>
              </w:rPr>
              <w:t>是否满足项目要求，</w:t>
            </w:r>
            <w:r w:rsidR="00115C02">
              <w:rPr>
                <w:rFonts w:ascii="宋体" w:eastAsia="宋体" w:hAnsi="宋体" w:hint="eastAsia"/>
                <w:szCs w:val="21"/>
              </w:rPr>
              <w:t>全部满足得</w:t>
            </w:r>
            <w:r w:rsidR="00480AE9">
              <w:rPr>
                <w:rFonts w:ascii="宋体" w:eastAsia="宋体" w:hAnsi="宋体"/>
                <w:szCs w:val="21"/>
              </w:rPr>
              <w:t>19</w:t>
            </w:r>
            <w:r w:rsidR="00640259">
              <w:rPr>
                <w:rFonts w:ascii="宋体" w:eastAsia="宋体" w:hAnsi="宋体" w:hint="eastAsia"/>
                <w:szCs w:val="21"/>
              </w:rPr>
              <w:t>分，每</w:t>
            </w:r>
            <w:r w:rsidRPr="0088470B">
              <w:rPr>
                <w:rFonts w:ascii="宋体" w:eastAsia="宋体" w:hAnsi="宋体" w:hint="eastAsia"/>
                <w:szCs w:val="21"/>
              </w:rPr>
              <w:t>有一</w:t>
            </w:r>
            <w:r w:rsidR="00640259">
              <w:rPr>
                <w:rFonts w:ascii="宋体" w:eastAsia="宋体" w:hAnsi="宋体" w:hint="eastAsia"/>
                <w:szCs w:val="21"/>
              </w:rPr>
              <w:t>项不满足扣</w:t>
            </w:r>
            <w:r w:rsidRPr="0088470B">
              <w:rPr>
                <w:rFonts w:ascii="宋体" w:eastAsia="宋体" w:hAnsi="宋体" w:hint="eastAsia"/>
                <w:szCs w:val="21"/>
              </w:rPr>
              <w:t>2分</w:t>
            </w:r>
            <w:r w:rsidR="00640259">
              <w:rPr>
                <w:rFonts w:ascii="宋体" w:eastAsia="宋体" w:hAnsi="宋体" w:hint="eastAsia"/>
                <w:szCs w:val="21"/>
              </w:rPr>
              <w:t>，扣完为止。</w:t>
            </w:r>
            <w:r w:rsidR="00115C02">
              <w:rPr>
                <w:rFonts w:ascii="宋体" w:eastAsia="宋体" w:hAnsi="宋体" w:hint="eastAsia"/>
                <w:szCs w:val="21"/>
              </w:rPr>
              <w:t>（需附偏离表或承诺书）</w:t>
            </w:r>
          </w:p>
        </w:tc>
        <w:tc>
          <w:tcPr>
            <w:tcW w:w="851" w:type="dxa"/>
            <w:vAlign w:val="center"/>
          </w:tcPr>
          <w:p w:rsidR="00A65802" w:rsidRPr="0088470B" w:rsidRDefault="00480AE9" w:rsidP="007F0910">
            <w:pPr>
              <w:spacing w:line="276" w:lineRule="auto"/>
              <w:ind w:firstLineChars="83" w:firstLine="174"/>
              <w:rPr>
                <w:rFonts w:ascii="宋体" w:eastAsia="宋体" w:hAnsi="宋体"/>
                <w:szCs w:val="21"/>
              </w:rPr>
            </w:pPr>
            <w:r>
              <w:rPr>
                <w:rFonts w:ascii="宋体" w:eastAsia="宋体" w:hAnsi="宋体"/>
                <w:szCs w:val="21"/>
              </w:rPr>
              <w:t>19</w:t>
            </w:r>
          </w:p>
        </w:tc>
      </w:tr>
      <w:tr w:rsidR="00010CA8" w:rsidRPr="0088470B" w:rsidTr="00861AD0">
        <w:trPr>
          <w:trHeight w:val="3000"/>
          <w:jc w:val="center"/>
        </w:trPr>
        <w:tc>
          <w:tcPr>
            <w:tcW w:w="1242" w:type="dxa"/>
            <w:vMerge/>
            <w:vAlign w:val="center"/>
          </w:tcPr>
          <w:p w:rsidR="00010CA8" w:rsidRPr="0088470B" w:rsidRDefault="00010CA8" w:rsidP="00010CA8">
            <w:pPr>
              <w:spacing w:line="276" w:lineRule="auto"/>
              <w:rPr>
                <w:rFonts w:ascii="宋体" w:eastAsia="宋体" w:hAnsi="宋体"/>
                <w:szCs w:val="21"/>
              </w:rPr>
            </w:pPr>
            <w:bookmarkStart w:id="6" w:name="gxebd_pack_1_EvalFactorScoreEnd"/>
            <w:bookmarkEnd w:id="6"/>
          </w:p>
        </w:tc>
        <w:tc>
          <w:tcPr>
            <w:tcW w:w="1418" w:type="dxa"/>
            <w:vAlign w:val="center"/>
          </w:tcPr>
          <w:p w:rsidR="00010CA8" w:rsidRPr="0088470B" w:rsidRDefault="00010CA8" w:rsidP="00010CA8">
            <w:pPr>
              <w:spacing w:line="276" w:lineRule="auto"/>
              <w:rPr>
                <w:rFonts w:ascii="宋体" w:eastAsia="宋体" w:hAnsi="宋体"/>
                <w:szCs w:val="21"/>
              </w:rPr>
            </w:pPr>
            <w:r>
              <w:rPr>
                <w:rFonts w:ascii="宋体" w:eastAsia="宋体" w:hAnsi="宋体" w:hint="eastAsia"/>
                <w:szCs w:val="21"/>
              </w:rPr>
              <w:t>供货</w:t>
            </w:r>
            <w:r w:rsidR="00557438">
              <w:rPr>
                <w:rFonts w:ascii="宋体" w:eastAsia="宋体" w:hAnsi="宋体" w:hint="eastAsia"/>
                <w:szCs w:val="21"/>
              </w:rPr>
              <w:t>安装</w:t>
            </w:r>
            <w:r>
              <w:rPr>
                <w:rFonts w:ascii="宋体" w:eastAsia="宋体" w:hAnsi="宋体" w:hint="eastAsia"/>
                <w:szCs w:val="21"/>
              </w:rPr>
              <w:t>方案</w:t>
            </w:r>
          </w:p>
        </w:tc>
        <w:tc>
          <w:tcPr>
            <w:tcW w:w="4281" w:type="dxa"/>
            <w:vAlign w:val="center"/>
          </w:tcPr>
          <w:p w:rsidR="00010CA8" w:rsidRDefault="00010CA8" w:rsidP="00010CA8">
            <w:pPr>
              <w:widowControl/>
              <w:rPr>
                <w:rFonts w:ascii="宋体" w:eastAsia="宋体" w:hAnsi="宋体"/>
                <w:szCs w:val="21"/>
              </w:rPr>
            </w:pPr>
            <w:r>
              <w:rPr>
                <w:rFonts w:ascii="宋体" w:eastAsia="宋体" w:hAnsi="宋体" w:hint="eastAsia"/>
                <w:szCs w:val="21"/>
              </w:rPr>
              <w:t>供应商应针对本项目提供供货</w:t>
            </w:r>
            <w:r w:rsidR="00557438">
              <w:rPr>
                <w:rFonts w:ascii="宋体" w:eastAsia="宋体" w:hAnsi="宋体" w:hint="eastAsia"/>
                <w:szCs w:val="21"/>
              </w:rPr>
              <w:t>安装</w:t>
            </w:r>
            <w:r>
              <w:rPr>
                <w:rFonts w:ascii="宋体" w:eastAsia="宋体" w:hAnsi="宋体" w:hint="eastAsia"/>
                <w:szCs w:val="21"/>
              </w:rPr>
              <w:t>方案</w:t>
            </w:r>
          </w:p>
          <w:p w:rsidR="00010CA8" w:rsidRDefault="00010CA8" w:rsidP="00010CA8">
            <w:pPr>
              <w:widowControl/>
              <w:rPr>
                <w:rFonts w:ascii="宋体" w:eastAsia="宋体" w:hAnsi="宋体"/>
                <w:szCs w:val="21"/>
              </w:rPr>
            </w:pPr>
            <w:r>
              <w:rPr>
                <w:rFonts w:ascii="宋体" w:eastAsia="宋体" w:hAnsi="宋体" w:hint="eastAsia"/>
                <w:szCs w:val="21"/>
              </w:rPr>
              <w:t>对供货计划安排、实施方案及配合保障措施进行综合评价：</w:t>
            </w:r>
          </w:p>
          <w:p w:rsidR="00010CA8" w:rsidRDefault="00010CA8" w:rsidP="00010CA8">
            <w:pPr>
              <w:widowControl/>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10</w:t>
            </w:r>
            <w:r>
              <w:rPr>
                <w:rFonts w:ascii="宋体" w:eastAsia="宋体" w:hAnsi="宋体" w:hint="eastAsia"/>
                <w:szCs w:val="21"/>
              </w:rPr>
              <w:t>分；</w:t>
            </w:r>
          </w:p>
          <w:p w:rsidR="00010CA8" w:rsidRDefault="00010CA8" w:rsidP="00010CA8">
            <w:pPr>
              <w:widowControl/>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010CA8" w:rsidRDefault="00010CA8" w:rsidP="00010CA8">
            <w:pPr>
              <w:widowControl/>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010CA8" w:rsidRDefault="00010CA8" w:rsidP="00010CA8">
            <w:pPr>
              <w:widowControl/>
              <w:rPr>
                <w:rFonts w:ascii="宋体" w:eastAsia="宋体" w:hAnsi="宋体"/>
                <w:szCs w:val="21"/>
              </w:rPr>
            </w:pPr>
            <w:r>
              <w:rPr>
                <w:rFonts w:ascii="宋体" w:eastAsia="宋体" w:hAnsi="宋体" w:hint="eastAsia"/>
                <w:szCs w:val="21"/>
              </w:rPr>
              <w:t>无具体内容或无针对性得0分。</w:t>
            </w:r>
          </w:p>
        </w:tc>
        <w:tc>
          <w:tcPr>
            <w:tcW w:w="851" w:type="dxa"/>
            <w:vAlign w:val="center"/>
          </w:tcPr>
          <w:p w:rsidR="00010CA8" w:rsidRPr="0088470B" w:rsidRDefault="00010CA8" w:rsidP="00010CA8">
            <w:pPr>
              <w:spacing w:line="276" w:lineRule="auto"/>
              <w:ind w:firstLineChars="83" w:firstLine="174"/>
              <w:rPr>
                <w:rFonts w:ascii="宋体" w:eastAsia="宋体" w:hAnsi="宋体"/>
                <w:szCs w:val="21"/>
              </w:rPr>
            </w:pPr>
            <w:r>
              <w:rPr>
                <w:rFonts w:ascii="宋体" w:eastAsia="宋体" w:hAnsi="宋体"/>
                <w:szCs w:val="21"/>
              </w:rPr>
              <w:t>10</w:t>
            </w:r>
          </w:p>
        </w:tc>
      </w:tr>
      <w:tr w:rsidR="00010CA8" w:rsidRPr="0088470B" w:rsidTr="00861AD0">
        <w:trPr>
          <w:trHeight w:val="905"/>
          <w:jc w:val="center"/>
        </w:trPr>
        <w:tc>
          <w:tcPr>
            <w:tcW w:w="1242" w:type="dxa"/>
            <w:vMerge/>
            <w:vAlign w:val="center"/>
          </w:tcPr>
          <w:p w:rsidR="00010CA8" w:rsidRPr="0088470B" w:rsidRDefault="00010CA8" w:rsidP="00010CA8">
            <w:pPr>
              <w:spacing w:line="276" w:lineRule="auto"/>
              <w:ind w:firstLine="440"/>
              <w:rPr>
                <w:rFonts w:ascii="宋体" w:eastAsia="宋体" w:hAnsi="宋体"/>
                <w:szCs w:val="21"/>
              </w:rPr>
            </w:pPr>
          </w:p>
        </w:tc>
        <w:tc>
          <w:tcPr>
            <w:tcW w:w="1418" w:type="dxa"/>
            <w:vAlign w:val="center"/>
          </w:tcPr>
          <w:p w:rsidR="00010CA8" w:rsidRDefault="00010CA8" w:rsidP="00010CA8">
            <w:pPr>
              <w:rPr>
                <w:rFonts w:ascii="宋体" w:eastAsia="宋体" w:hAnsi="宋体"/>
                <w:szCs w:val="21"/>
              </w:rPr>
            </w:pPr>
            <w:r>
              <w:rPr>
                <w:rFonts w:ascii="宋体" w:eastAsia="宋体" w:hAnsi="宋体" w:hint="eastAsia"/>
                <w:szCs w:val="21"/>
              </w:rPr>
              <w:t>质量保障</w:t>
            </w:r>
          </w:p>
          <w:p w:rsidR="00010CA8" w:rsidRPr="0088470B" w:rsidRDefault="00010CA8" w:rsidP="00010CA8">
            <w:pPr>
              <w:spacing w:beforeLines="100" w:before="312" w:line="276" w:lineRule="auto"/>
              <w:rPr>
                <w:rFonts w:ascii="宋体" w:eastAsia="宋体" w:hAnsi="宋体"/>
                <w:szCs w:val="21"/>
              </w:rPr>
            </w:pPr>
            <w:r>
              <w:rPr>
                <w:rFonts w:ascii="宋体" w:eastAsia="宋体" w:hAnsi="宋体" w:hint="eastAsia"/>
                <w:szCs w:val="21"/>
              </w:rPr>
              <w:t>方案</w:t>
            </w:r>
          </w:p>
        </w:tc>
        <w:tc>
          <w:tcPr>
            <w:tcW w:w="4281" w:type="dxa"/>
            <w:vAlign w:val="center"/>
          </w:tcPr>
          <w:p w:rsidR="00010CA8" w:rsidRDefault="00010CA8" w:rsidP="00010CA8">
            <w:pPr>
              <w:jc w:val="left"/>
              <w:rPr>
                <w:rFonts w:ascii="宋体" w:eastAsia="宋体" w:hAnsi="宋体"/>
                <w:szCs w:val="21"/>
              </w:rPr>
            </w:pPr>
            <w:r>
              <w:rPr>
                <w:rFonts w:ascii="宋体" w:eastAsia="宋体" w:hAnsi="宋体" w:hint="eastAsia"/>
                <w:szCs w:val="21"/>
              </w:rPr>
              <w:t>供应商应针对本项目提供质量保障方案,综合考虑生产基地情况、生产厂家相关生产经营制度以及生产流程等内容，进行综合评比：</w:t>
            </w:r>
          </w:p>
          <w:p w:rsidR="00010CA8" w:rsidRDefault="00010CA8" w:rsidP="00010CA8">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15</w:t>
            </w:r>
            <w:r>
              <w:rPr>
                <w:rFonts w:ascii="宋体" w:eastAsia="宋体" w:hAnsi="宋体" w:hint="eastAsia"/>
                <w:szCs w:val="21"/>
              </w:rPr>
              <w:t>分；</w:t>
            </w:r>
          </w:p>
          <w:p w:rsidR="00010CA8" w:rsidRDefault="00010CA8" w:rsidP="00010CA8">
            <w:pPr>
              <w:ind w:firstLine="420"/>
              <w:jc w:val="left"/>
              <w:rPr>
                <w:rFonts w:ascii="宋体" w:eastAsia="宋体" w:hAnsi="宋体"/>
                <w:szCs w:val="21"/>
              </w:rPr>
            </w:pPr>
            <w:r>
              <w:rPr>
                <w:rFonts w:ascii="宋体" w:eastAsia="宋体" w:hAnsi="宋体" w:hint="eastAsia"/>
                <w:szCs w:val="21"/>
              </w:rPr>
              <w:t>方案内容虽进行阐述但并未贴合项目实</w:t>
            </w:r>
            <w:r>
              <w:rPr>
                <w:rFonts w:ascii="宋体" w:eastAsia="宋体" w:hAnsi="宋体" w:hint="eastAsia"/>
                <w:szCs w:val="21"/>
              </w:rPr>
              <w:lastRenderedPageBreak/>
              <w:t>际情况进行详细论述，或方案中未包括具体实施细节及措施则得</w:t>
            </w:r>
            <w:r>
              <w:rPr>
                <w:rFonts w:ascii="宋体" w:eastAsia="宋体" w:hAnsi="宋体"/>
                <w:szCs w:val="21"/>
              </w:rPr>
              <w:t>10</w:t>
            </w:r>
            <w:r>
              <w:rPr>
                <w:rFonts w:ascii="宋体" w:eastAsia="宋体" w:hAnsi="宋体" w:hint="eastAsia"/>
                <w:szCs w:val="21"/>
              </w:rPr>
              <w:t>分；</w:t>
            </w:r>
          </w:p>
          <w:p w:rsidR="00010CA8" w:rsidRDefault="00010CA8" w:rsidP="00010CA8">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5</w:t>
            </w:r>
            <w:r>
              <w:rPr>
                <w:rFonts w:ascii="宋体" w:eastAsia="宋体" w:hAnsi="宋体" w:hint="eastAsia"/>
                <w:szCs w:val="21"/>
              </w:rPr>
              <w:t>分；</w:t>
            </w:r>
          </w:p>
          <w:p w:rsidR="00010CA8" w:rsidRPr="0088470B" w:rsidRDefault="00010CA8" w:rsidP="00010CA8">
            <w:pPr>
              <w:rPr>
                <w:rFonts w:ascii="宋体" w:eastAsia="宋体" w:hAnsi="宋体"/>
                <w:szCs w:val="21"/>
              </w:rPr>
            </w:pPr>
            <w:r>
              <w:rPr>
                <w:rFonts w:ascii="宋体" w:eastAsia="宋体" w:hAnsi="宋体" w:hint="eastAsia"/>
                <w:szCs w:val="21"/>
              </w:rPr>
              <w:t>无具体内容或无针对性得0分。</w:t>
            </w:r>
          </w:p>
        </w:tc>
        <w:tc>
          <w:tcPr>
            <w:tcW w:w="851" w:type="dxa"/>
            <w:vAlign w:val="center"/>
          </w:tcPr>
          <w:p w:rsidR="00010CA8" w:rsidRPr="0088470B" w:rsidRDefault="00010CA8" w:rsidP="00010CA8">
            <w:pPr>
              <w:spacing w:line="276" w:lineRule="auto"/>
              <w:ind w:firstLineChars="83" w:firstLine="174"/>
              <w:rPr>
                <w:rFonts w:ascii="宋体" w:eastAsia="宋体" w:hAnsi="宋体"/>
                <w:szCs w:val="21"/>
              </w:rPr>
            </w:pPr>
            <w:r>
              <w:rPr>
                <w:rFonts w:ascii="宋体" w:eastAsia="宋体" w:hAnsi="宋体"/>
                <w:szCs w:val="21"/>
              </w:rPr>
              <w:lastRenderedPageBreak/>
              <w:t>15</w:t>
            </w:r>
          </w:p>
        </w:tc>
      </w:tr>
      <w:tr w:rsidR="00010CA8" w:rsidRPr="0088470B" w:rsidTr="00861AD0">
        <w:trPr>
          <w:trHeight w:val="1233"/>
          <w:jc w:val="center"/>
        </w:trPr>
        <w:tc>
          <w:tcPr>
            <w:tcW w:w="1242" w:type="dxa"/>
            <w:vMerge/>
            <w:vAlign w:val="center"/>
          </w:tcPr>
          <w:p w:rsidR="00010CA8" w:rsidRPr="0088470B" w:rsidRDefault="00010CA8" w:rsidP="00010CA8">
            <w:pPr>
              <w:spacing w:line="276" w:lineRule="auto"/>
              <w:ind w:firstLine="440"/>
              <w:rPr>
                <w:rFonts w:ascii="宋体" w:eastAsia="宋体" w:hAnsi="宋体"/>
                <w:szCs w:val="21"/>
              </w:rPr>
            </w:pPr>
          </w:p>
        </w:tc>
        <w:tc>
          <w:tcPr>
            <w:tcW w:w="1418" w:type="dxa"/>
            <w:vAlign w:val="center"/>
          </w:tcPr>
          <w:p w:rsidR="00010CA8" w:rsidRPr="0088470B" w:rsidRDefault="00010CA8" w:rsidP="00010CA8">
            <w:pPr>
              <w:spacing w:line="276" w:lineRule="auto"/>
              <w:rPr>
                <w:rFonts w:ascii="宋体" w:eastAsia="宋体" w:hAnsi="宋体"/>
                <w:szCs w:val="21"/>
              </w:rPr>
            </w:pPr>
            <w:r>
              <w:rPr>
                <w:rFonts w:ascii="宋体" w:eastAsia="宋体" w:hAnsi="宋体" w:hint="eastAsia"/>
                <w:szCs w:val="21"/>
              </w:rPr>
              <w:t>服务方案</w:t>
            </w:r>
          </w:p>
        </w:tc>
        <w:tc>
          <w:tcPr>
            <w:tcW w:w="4281" w:type="dxa"/>
            <w:vAlign w:val="center"/>
          </w:tcPr>
          <w:p w:rsidR="00010CA8" w:rsidRDefault="00010CA8" w:rsidP="00010CA8">
            <w:pPr>
              <w:jc w:val="left"/>
              <w:rPr>
                <w:rFonts w:ascii="宋体" w:eastAsia="宋体" w:hAnsi="宋体"/>
                <w:szCs w:val="21"/>
              </w:rPr>
            </w:pPr>
            <w:r>
              <w:rPr>
                <w:rFonts w:ascii="宋体" w:eastAsia="宋体" w:hAnsi="宋体" w:hint="eastAsia"/>
                <w:szCs w:val="21"/>
              </w:rPr>
              <w:t>供应商应针对本项目提供售后服务方案，综合考虑售前、售中和售后服务内容、售后服务响应时间、应急预案等内容，增值服务等进行综合评比：</w:t>
            </w:r>
          </w:p>
          <w:p w:rsidR="00010CA8" w:rsidRDefault="00010CA8" w:rsidP="00010CA8">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方案内容进行了详细的阐述，能正确理解项目需求，思路清晰，满足采购要求则得1</w:t>
            </w:r>
            <w:r>
              <w:rPr>
                <w:rFonts w:ascii="宋体" w:eastAsia="宋体" w:hAnsi="宋体"/>
                <w:szCs w:val="21"/>
              </w:rPr>
              <w:t>0</w:t>
            </w:r>
            <w:r>
              <w:rPr>
                <w:rFonts w:ascii="宋体" w:eastAsia="宋体" w:hAnsi="宋体" w:hint="eastAsia"/>
                <w:szCs w:val="21"/>
              </w:rPr>
              <w:t>分；</w:t>
            </w:r>
          </w:p>
          <w:p w:rsidR="00010CA8" w:rsidRDefault="00010CA8" w:rsidP="00010CA8">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010CA8" w:rsidRDefault="00010CA8" w:rsidP="00010CA8">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010CA8" w:rsidRPr="0088470B" w:rsidRDefault="00010CA8" w:rsidP="00010CA8">
            <w:pPr>
              <w:rPr>
                <w:rFonts w:ascii="宋体" w:eastAsia="宋体" w:hAnsi="宋体"/>
                <w:szCs w:val="21"/>
              </w:rPr>
            </w:pPr>
            <w:r>
              <w:rPr>
                <w:rFonts w:ascii="宋体" w:eastAsia="宋体" w:hAnsi="宋体" w:hint="eastAsia"/>
                <w:szCs w:val="21"/>
              </w:rPr>
              <w:t>无具体内容或无针对性得0分</w:t>
            </w:r>
          </w:p>
        </w:tc>
        <w:tc>
          <w:tcPr>
            <w:tcW w:w="851" w:type="dxa"/>
            <w:vAlign w:val="center"/>
          </w:tcPr>
          <w:p w:rsidR="00010CA8" w:rsidRPr="0088470B" w:rsidRDefault="003C556D" w:rsidP="00010CA8">
            <w:pPr>
              <w:spacing w:line="276" w:lineRule="auto"/>
              <w:ind w:firstLineChars="83" w:firstLine="174"/>
              <w:rPr>
                <w:rFonts w:ascii="宋体" w:eastAsia="宋体" w:hAnsi="宋体"/>
                <w:szCs w:val="21"/>
              </w:rPr>
            </w:pPr>
            <w:r>
              <w:rPr>
                <w:rFonts w:ascii="宋体" w:eastAsia="宋体" w:hAnsi="宋体"/>
                <w:szCs w:val="21"/>
              </w:rPr>
              <w:t>10</w:t>
            </w: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88470B">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7E2BE0">
        <w:rPr>
          <w:rFonts w:ascii="宋体" w:eastAsia="宋体" w:hAnsi="宋体"/>
          <w:szCs w:val="21"/>
        </w:rPr>
        <w:t>5</w:t>
      </w:r>
      <w:r>
        <w:rPr>
          <w:rFonts w:ascii="宋体" w:eastAsia="宋体" w:hAnsi="宋体" w:hint="eastAsia"/>
          <w:szCs w:val="21"/>
        </w:rPr>
        <w:t>年</w:t>
      </w:r>
      <w:r w:rsidR="002266FE">
        <w:rPr>
          <w:rFonts w:ascii="宋体" w:eastAsia="宋体" w:hAnsi="宋体"/>
          <w:szCs w:val="21"/>
        </w:rPr>
        <w:t>10</w:t>
      </w:r>
      <w:r>
        <w:rPr>
          <w:rFonts w:ascii="宋体" w:eastAsia="宋体" w:hAnsi="宋体" w:hint="eastAsia"/>
          <w:szCs w:val="21"/>
        </w:rPr>
        <w:t>月</w:t>
      </w:r>
      <w:r w:rsidR="002266FE">
        <w:rPr>
          <w:rFonts w:ascii="宋体" w:eastAsia="宋体" w:hAnsi="宋体"/>
          <w:szCs w:val="21"/>
        </w:rPr>
        <w:t>11</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88470B">
        <w:rPr>
          <w:rFonts w:ascii="宋体" w:eastAsia="宋体" w:hAnsi="宋体" w:hint="eastAsia"/>
          <w:szCs w:val="21"/>
        </w:rPr>
        <w:t>启</w:t>
      </w:r>
      <w:r>
        <w:rPr>
          <w:rFonts w:ascii="宋体" w:eastAsia="宋体" w:hAnsi="宋体" w:hint="eastAsia"/>
          <w:szCs w:val="21"/>
        </w:rPr>
        <w:t>时间：202</w:t>
      </w:r>
      <w:r w:rsidR="007E2BE0">
        <w:rPr>
          <w:rFonts w:ascii="宋体" w:eastAsia="宋体" w:hAnsi="宋体"/>
          <w:szCs w:val="21"/>
        </w:rPr>
        <w:t>5</w:t>
      </w:r>
      <w:r>
        <w:rPr>
          <w:rFonts w:ascii="宋体" w:eastAsia="宋体" w:hAnsi="宋体" w:hint="eastAsia"/>
          <w:szCs w:val="21"/>
        </w:rPr>
        <w:t>年</w:t>
      </w:r>
      <w:r w:rsidR="00EF4BD3">
        <w:rPr>
          <w:rFonts w:ascii="宋体" w:eastAsia="宋体" w:hAnsi="宋体"/>
          <w:szCs w:val="21"/>
        </w:rPr>
        <w:t>10</w:t>
      </w:r>
      <w:r>
        <w:rPr>
          <w:rFonts w:ascii="宋体" w:eastAsia="宋体" w:hAnsi="宋体" w:hint="eastAsia"/>
          <w:szCs w:val="21"/>
        </w:rPr>
        <w:t>月</w:t>
      </w:r>
      <w:r w:rsidR="00EF4BD3">
        <w:rPr>
          <w:rFonts w:ascii="宋体" w:eastAsia="宋体" w:hAnsi="宋体"/>
          <w:szCs w:val="21"/>
        </w:rPr>
        <w:t>11</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3、地点：北京市西城区西直门外大街6号中仪大厦</w:t>
      </w:r>
      <w:r w:rsidR="00B80F6D">
        <w:rPr>
          <w:rFonts w:ascii="宋体" w:eastAsia="宋体" w:hAnsi="宋体"/>
          <w:szCs w:val="21"/>
        </w:rPr>
        <w:t>10</w:t>
      </w:r>
      <w:r w:rsidR="003D225B">
        <w:rPr>
          <w:rFonts w:ascii="宋体" w:eastAsia="宋体" w:hAnsi="宋体"/>
          <w:szCs w:val="21"/>
        </w:rPr>
        <w:t>0</w:t>
      </w:r>
      <w:r w:rsidR="00C46F43">
        <w:rPr>
          <w:rFonts w:ascii="宋体" w:eastAsia="宋体" w:hAnsi="宋体"/>
          <w:szCs w:val="21"/>
        </w:rPr>
        <w:t>2</w:t>
      </w:r>
      <w:bookmarkStart w:id="7" w:name="_GoBack"/>
      <w:bookmarkEnd w:id="7"/>
    </w:p>
    <w:p w:rsidR="007F0910" w:rsidRPr="00662B2C" w:rsidRDefault="007E3033" w:rsidP="00662B2C">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sectPr w:rsidR="007F0910" w:rsidRPr="00662B2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677" w:rsidRDefault="00DF2677">
      <w:r>
        <w:separator/>
      </w:r>
    </w:p>
  </w:endnote>
  <w:endnote w:type="continuationSeparator" w:id="0">
    <w:p w:rsidR="00DF2677" w:rsidRDefault="00DF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C27118" w:rsidRDefault="00C27118">
        <w:pPr>
          <w:pStyle w:val="a4"/>
          <w:jc w:val="center"/>
        </w:pPr>
        <w:r>
          <w:fldChar w:fldCharType="begin"/>
        </w:r>
        <w:r>
          <w:instrText>PAGE   \* MERGEFORMAT</w:instrText>
        </w:r>
        <w:r>
          <w:fldChar w:fldCharType="separate"/>
        </w:r>
        <w:r>
          <w:rPr>
            <w:lang w:val="zh-CN"/>
          </w:rPr>
          <w:t>2</w:t>
        </w:r>
        <w:r>
          <w:fldChar w:fldCharType="end"/>
        </w:r>
      </w:p>
    </w:sdtContent>
  </w:sdt>
  <w:p w:rsidR="00C27118" w:rsidRDefault="00C271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677" w:rsidRDefault="00DF2677">
      <w:r>
        <w:separator/>
      </w:r>
    </w:p>
  </w:footnote>
  <w:footnote w:type="continuationSeparator" w:id="0">
    <w:p w:rsidR="00DF2677" w:rsidRDefault="00DF2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730FBBC"/>
    <w:multiLevelType w:val="singleLevel"/>
    <w:tmpl w:val="6730FBBC"/>
    <w:lvl w:ilvl="0">
      <w:start w:val="1"/>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0CA8"/>
    <w:rsid w:val="0001313A"/>
    <w:rsid w:val="000171C9"/>
    <w:rsid w:val="0002789D"/>
    <w:rsid w:val="00032ACC"/>
    <w:rsid w:val="0003581C"/>
    <w:rsid w:val="00064290"/>
    <w:rsid w:val="000C45EF"/>
    <w:rsid w:val="000C5ABC"/>
    <w:rsid w:val="000F11BD"/>
    <w:rsid w:val="00102DEC"/>
    <w:rsid w:val="00107768"/>
    <w:rsid w:val="00115C02"/>
    <w:rsid w:val="00120409"/>
    <w:rsid w:val="0014064E"/>
    <w:rsid w:val="001629A1"/>
    <w:rsid w:val="001711FC"/>
    <w:rsid w:val="00186F83"/>
    <w:rsid w:val="00187637"/>
    <w:rsid w:val="00193F43"/>
    <w:rsid w:val="00196157"/>
    <w:rsid w:val="001B6610"/>
    <w:rsid w:val="001B67CD"/>
    <w:rsid w:val="001C268B"/>
    <w:rsid w:val="001C36B9"/>
    <w:rsid w:val="001E2523"/>
    <w:rsid w:val="001E74DA"/>
    <w:rsid w:val="001E7684"/>
    <w:rsid w:val="00215C80"/>
    <w:rsid w:val="0022198F"/>
    <w:rsid w:val="002266FE"/>
    <w:rsid w:val="00232321"/>
    <w:rsid w:val="00236F1E"/>
    <w:rsid w:val="00236FD4"/>
    <w:rsid w:val="0024172A"/>
    <w:rsid w:val="002442DF"/>
    <w:rsid w:val="00246BB3"/>
    <w:rsid w:val="00260DDA"/>
    <w:rsid w:val="0026231B"/>
    <w:rsid w:val="002775E3"/>
    <w:rsid w:val="002858F1"/>
    <w:rsid w:val="002952DD"/>
    <w:rsid w:val="002A6BCB"/>
    <w:rsid w:val="002C17F2"/>
    <w:rsid w:val="002C2538"/>
    <w:rsid w:val="002E232F"/>
    <w:rsid w:val="002F3869"/>
    <w:rsid w:val="002F5B2E"/>
    <w:rsid w:val="00302E06"/>
    <w:rsid w:val="00321B34"/>
    <w:rsid w:val="00330EE4"/>
    <w:rsid w:val="003408BA"/>
    <w:rsid w:val="003441B5"/>
    <w:rsid w:val="00363104"/>
    <w:rsid w:val="003673A6"/>
    <w:rsid w:val="003721B3"/>
    <w:rsid w:val="003831F6"/>
    <w:rsid w:val="00392392"/>
    <w:rsid w:val="003B3290"/>
    <w:rsid w:val="003C556D"/>
    <w:rsid w:val="003D1029"/>
    <w:rsid w:val="003D225B"/>
    <w:rsid w:val="003D5E82"/>
    <w:rsid w:val="003E74E8"/>
    <w:rsid w:val="003F5A3D"/>
    <w:rsid w:val="0040458D"/>
    <w:rsid w:val="00416DF9"/>
    <w:rsid w:val="00443657"/>
    <w:rsid w:val="00445753"/>
    <w:rsid w:val="004472BC"/>
    <w:rsid w:val="00460FE2"/>
    <w:rsid w:val="0046485F"/>
    <w:rsid w:val="004660C5"/>
    <w:rsid w:val="00480AE9"/>
    <w:rsid w:val="00484A06"/>
    <w:rsid w:val="00493E3E"/>
    <w:rsid w:val="004A2E39"/>
    <w:rsid w:val="004A3A1C"/>
    <w:rsid w:val="004B00F1"/>
    <w:rsid w:val="004B75F6"/>
    <w:rsid w:val="004C53DA"/>
    <w:rsid w:val="004D050B"/>
    <w:rsid w:val="004E4039"/>
    <w:rsid w:val="004F387B"/>
    <w:rsid w:val="004F5E22"/>
    <w:rsid w:val="004F63A7"/>
    <w:rsid w:val="0050352C"/>
    <w:rsid w:val="00521C12"/>
    <w:rsid w:val="005263CC"/>
    <w:rsid w:val="005377C3"/>
    <w:rsid w:val="005453F1"/>
    <w:rsid w:val="00557438"/>
    <w:rsid w:val="00563599"/>
    <w:rsid w:val="00585B3A"/>
    <w:rsid w:val="00585E1D"/>
    <w:rsid w:val="00595D04"/>
    <w:rsid w:val="00596EBE"/>
    <w:rsid w:val="005A350C"/>
    <w:rsid w:val="005B1D84"/>
    <w:rsid w:val="005D1B6B"/>
    <w:rsid w:val="005D6C7E"/>
    <w:rsid w:val="005D7D22"/>
    <w:rsid w:val="005F12B1"/>
    <w:rsid w:val="005F16BC"/>
    <w:rsid w:val="00610135"/>
    <w:rsid w:val="00615C69"/>
    <w:rsid w:val="006166F5"/>
    <w:rsid w:val="0061713F"/>
    <w:rsid w:val="00620B9F"/>
    <w:rsid w:val="00621327"/>
    <w:rsid w:val="00630DEC"/>
    <w:rsid w:val="00637C79"/>
    <w:rsid w:val="006401D5"/>
    <w:rsid w:val="00640259"/>
    <w:rsid w:val="00640332"/>
    <w:rsid w:val="006427E6"/>
    <w:rsid w:val="00643684"/>
    <w:rsid w:val="00645464"/>
    <w:rsid w:val="00647650"/>
    <w:rsid w:val="00653E5D"/>
    <w:rsid w:val="00662B2C"/>
    <w:rsid w:val="00665C0B"/>
    <w:rsid w:val="0068485E"/>
    <w:rsid w:val="0069024D"/>
    <w:rsid w:val="006971E7"/>
    <w:rsid w:val="00697595"/>
    <w:rsid w:val="00697831"/>
    <w:rsid w:val="006B4D40"/>
    <w:rsid w:val="006B6201"/>
    <w:rsid w:val="006C3EF6"/>
    <w:rsid w:val="006C538D"/>
    <w:rsid w:val="006C75E3"/>
    <w:rsid w:val="007036A7"/>
    <w:rsid w:val="00704406"/>
    <w:rsid w:val="00716864"/>
    <w:rsid w:val="00724C14"/>
    <w:rsid w:val="0073057E"/>
    <w:rsid w:val="007325D7"/>
    <w:rsid w:val="0073416A"/>
    <w:rsid w:val="00742D5E"/>
    <w:rsid w:val="00756DB4"/>
    <w:rsid w:val="00782827"/>
    <w:rsid w:val="00787600"/>
    <w:rsid w:val="00791DF5"/>
    <w:rsid w:val="007B2A24"/>
    <w:rsid w:val="007B4B78"/>
    <w:rsid w:val="007C4320"/>
    <w:rsid w:val="007C4DF1"/>
    <w:rsid w:val="007C5B45"/>
    <w:rsid w:val="007E2BE0"/>
    <w:rsid w:val="007E3033"/>
    <w:rsid w:val="007F0910"/>
    <w:rsid w:val="008032A4"/>
    <w:rsid w:val="00806343"/>
    <w:rsid w:val="00814BE2"/>
    <w:rsid w:val="00814F7D"/>
    <w:rsid w:val="008257F9"/>
    <w:rsid w:val="00831B38"/>
    <w:rsid w:val="00832E65"/>
    <w:rsid w:val="00841AA3"/>
    <w:rsid w:val="0085475B"/>
    <w:rsid w:val="00861AD0"/>
    <w:rsid w:val="0087756E"/>
    <w:rsid w:val="0088470B"/>
    <w:rsid w:val="00890D8F"/>
    <w:rsid w:val="00892766"/>
    <w:rsid w:val="008A3E8A"/>
    <w:rsid w:val="008A548F"/>
    <w:rsid w:val="008C5CF1"/>
    <w:rsid w:val="008D1E5F"/>
    <w:rsid w:val="008E397E"/>
    <w:rsid w:val="008F41D7"/>
    <w:rsid w:val="00910266"/>
    <w:rsid w:val="0095017D"/>
    <w:rsid w:val="009533DE"/>
    <w:rsid w:val="009536F7"/>
    <w:rsid w:val="00962003"/>
    <w:rsid w:val="009623CC"/>
    <w:rsid w:val="0097691C"/>
    <w:rsid w:val="00990D35"/>
    <w:rsid w:val="00994C5D"/>
    <w:rsid w:val="00996FDF"/>
    <w:rsid w:val="009B40EF"/>
    <w:rsid w:val="009B69D9"/>
    <w:rsid w:val="009B729F"/>
    <w:rsid w:val="009C445F"/>
    <w:rsid w:val="009D0EB6"/>
    <w:rsid w:val="009E15C3"/>
    <w:rsid w:val="009F38CB"/>
    <w:rsid w:val="00A130BB"/>
    <w:rsid w:val="00A31442"/>
    <w:rsid w:val="00A45E9B"/>
    <w:rsid w:val="00A62085"/>
    <w:rsid w:val="00A65009"/>
    <w:rsid w:val="00A65802"/>
    <w:rsid w:val="00A66966"/>
    <w:rsid w:val="00A71C15"/>
    <w:rsid w:val="00A95F0D"/>
    <w:rsid w:val="00AA418D"/>
    <w:rsid w:val="00AB72A0"/>
    <w:rsid w:val="00AD0187"/>
    <w:rsid w:val="00AD037B"/>
    <w:rsid w:val="00AD17D9"/>
    <w:rsid w:val="00AD3187"/>
    <w:rsid w:val="00AF0172"/>
    <w:rsid w:val="00B016D1"/>
    <w:rsid w:val="00B10A5B"/>
    <w:rsid w:val="00B11E88"/>
    <w:rsid w:val="00B12DE6"/>
    <w:rsid w:val="00B22393"/>
    <w:rsid w:val="00B30530"/>
    <w:rsid w:val="00B343E0"/>
    <w:rsid w:val="00B352C8"/>
    <w:rsid w:val="00B4164D"/>
    <w:rsid w:val="00B53550"/>
    <w:rsid w:val="00B60D06"/>
    <w:rsid w:val="00B7097D"/>
    <w:rsid w:val="00B74DE7"/>
    <w:rsid w:val="00B80F6D"/>
    <w:rsid w:val="00B81D93"/>
    <w:rsid w:val="00B82142"/>
    <w:rsid w:val="00BA1EE7"/>
    <w:rsid w:val="00BA38C4"/>
    <w:rsid w:val="00BB3909"/>
    <w:rsid w:val="00BC0646"/>
    <w:rsid w:val="00BC1CBD"/>
    <w:rsid w:val="00BC7477"/>
    <w:rsid w:val="00BC78AD"/>
    <w:rsid w:val="00BF04E3"/>
    <w:rsid w:val="00C03123"/>
    <w:rsid w:val="00C039B5"/>
    <w:rsid w:val="00C05D8A"/>
    <w:rsid w:val="00C07635"/>
    <w:rsid w:val="00C1644E"/>
    <w:rsid w:val="00C27118"/>
    <w:rsid w:val="00C3020F"/>
    <w:rsid w:val="00C30AEB"/>
    <w:rsid w:val="00C31D45"/>
    <w:rsid w:val="00C3372C"/>
    <w:rsid w:val="00C40559"/>
    <w:rsid w:val="00C44AE2"/>
    <w:rsid w:val="00C46F43"/>
    <w:rsid w:val="00C501B5"/>
    <w:rsid w:val="00C731D7"/>
    <w:rsid w:val="00C76EAC"/>
    <w:rsid w:val="00C77842"/>
    <w:rsid w:val="00C8379E"/>
    <w:rsid w:val="00C84C79"/>
    <w:rsid w:val="00CA5850"/>
    <w:rsid w:val="00CB0272"/>
    <w:rsid w:val="00CC0CBD"/>
    <w:rsid w:val="00CD77CE"/>
    <w:rsid w:val="00CF358D"/>
    <w:rsid w:val="00D04DB2"/>
    <w:rsid w:val="00D1378B"/>
    <w:rsid w:val="00D318F7"/>
    <w:rsid w:val="00D569E7"/>
    <w:rsid w:val="00D61981"/>
    <w:rsid w:val="00D636DA"/>
    <w:rsid w:val="00D72ABD"/>
    <w:rsid w:val="00D81395"/>
    <w:rsid w:val="00DC1F43"/>
    <w:rsid w:val="00DD1EAC"/>
    <w:rsid w:val="00DE7687"/>
    <w:rsid w:val="00DF1414"/>
    <w:rsid w:val="00DF2677"/>
    <w:rsid w:val="00E01DEB"/>
    <w:rsid w:val="00E10CEA"/>
    <w:rsid w:val="00E11D6C"/>
    <w:rsid w:val="00E137C3"/>
    <w:rsid w:val="00E14F86"/>
    <w:rsid w:val="00E5130D"/>
    <w:rsid w:val="00E527A5"/>
    <w:rsid w:val="00E60126"/>
    <w:rsid w:val="00E65800"/>
    <w:rsid w:val="00E7421E"/>
    <w:rsid w:val="00E76CCB"/>
    <w:rsid w:val="00E77497"/>
    <w:rsid w:val="00E77D53"/>
    <w:rsid w:val="00E81DA2"/>
    <w:rsid w:val="00E85679"/>
    <w:rsid w:val="00E908E7"/>
    <w:rsid w:val="00E9108F"/>
    <w:rsid w:val="00E934F7"/>
    <w:rsid w:val="00EA7669"/>
    <w:rsid w:val="00EC70B0"/>
    <w:rsid w:val="00EE2845"/>
    <w:rsid w:val="00EF4BD3"/>
    <w:rsid w:val="00F01FFA"/>
    <w:rsid w:val="00F12DD1"/>
    <w:rsid w:val="00F1332B"/>
    <w:rsid w:val="00F151DB"/>
    <w:rsid w:val="00F154F9"/>
    <w:rsid w:val="00F211DD"/>
    <w:rsid w:val="00F24810"/>
    <w:rsid w:val="00F52CCF"/>
    <w:rsid w:val="00F52DD6"/>
    <w:rsid w:val="00F5616E"/>
    <w:rsid w:val="00F6397B"/>
    <w:rsid w:val="00F73DB9"/>
    <w:rsid w:val="00F76F95"/>
    <w:rsid w:val="00F86242"/>
    <w:rsid w:val="00F941A8"/>
    <w:rsid w:val="00F964D5"/>
    <w:rsid w:val="00FA6DCF"/>
    <w:rsid w:val="00FA7037"/>
    <w:rsid w:val="00FD1D46"/>
    <w:rsid w:val="00FD22C6"/>
    <w:rsid w:val="00FE423B"/>
    <w:rsid w:val="00FF1E5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97AF67"/>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character" w:customStyle="1" w:styleId="font11">
    <w:name w:val="font11"/>
    <w:basedOn w:val="a1"/>
    <w:rsid w:val="00E5130D"/>
    <w:rPr>
      <w:rFonts w:ascii="宋体" w:eastAsia="宋体" w:hAnsi="宋体" w:cs="宋体"/>
      <w:i w:val="0"/>
      <w:iCs w:val="0"/>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7174">
      <w:bodyDiv w:val="1"/>
      <w:marLeft w:val="0"/>
      <w:marRight w:val="0"/>
      <w:marTop w:val="0"/>
      <w:marBottom w:val="0"/>
      <w:divBdr>
        <w:top w:val="none" w:sz="0" w:space="0" w:color="auto"/>
        <w:left w:val="none" w:sz="0" w:space="0" w:color="auto"/>
        <w:bottom w:val="none" w:sz="0" w:space="0" w:color="auto"/>
        <w:right w:val="none" w:sz="0" w:space="0" w:color="auto"/>
      </w:divBdr>
    </w:div>
    <w:div w:id="388652344">
      <w:bodyDiv w:val="1"/>
      <w:marLeft w:val="0"/>
      <w:marRight w:val="0"/>
      <w:marTop w:val="0"/>
      <w:marBottom w:val="0"/>
      <w:divBdr>
        <w:top w:val="none" w:sz="0" w:space="0" w:color="auto"/>
        <w:left w:val="none" w:sz="0" w:space="0" w:color="auto"/>
        <w:bottom w:val="none" w:sz="0" w:space="0" w:color="auto"/>
        <w:right w:val="none" w:sz="0" w:space="0" w:color="auto"/>
      </w:divBdr>
    </w:div>
    <w:div w:id="569312283">
      <w:bodyDiv w:val="1"/>
      <w:marLeft w:val="0"/>
      <w:marRight w:val="0"/>
      <w:marTop w:val="0"/>
      <w:marBottom w:val="0"/>
      <w:divBdr>
        <w:top w:val="none" w:sz="0" w:space="0" w:color="auto"/>
        <w:left w:val="none" w:sz="0" w:space="0" w:color="auto"/>
        <w:bottom w:val="none" w:sz="0" w:space="0" w:color="auto"/>
        <w:right w:val="none" w:sz="0" w:space="0" w:color="auto"/>
      </w:divBdr>
    </w:div>
    <w:div w:id="1889300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9EC8-A494-44ED-A6FB-BEE2691B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7</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李超然</dc:creator>
  <cp:lastModifiedBy>李超然</cp:lastModifiedBy>
  <cp:revision>94</cp:revision>
  <cp:lastPrinted>2024-07-11T00:34:00Z</cp:lastPrinted>
  <dcterms:created xsi:type="dcterms:W3CDTF">2024-07-03T07:09:00Z</dcterms:created>
  <dcterms:modified xsi:type="dcterms:W3CDTF">2025-09-29T07:00:00Z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