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773A647E" w:rsidR="00442DDD" w:rsidRPr="009019EB" w:rsidRDefault="00B90F57" w:rsidP="009019EB">
      <w:pPr>
        <w:spacing w:line="276" w:lineRule="auto"/>
        <w:ind w:firstLine="562"/>
        <w:jc w:val="center"/>
        <w:rPr>
          <w:rFonts w:ascii="宋体" w:hAnsi="宋体"/>
          <w:b/>
          <w:bCs/>
          <w:sz w:val="28"/>
          <w:szCs w:val="24"/>
        </w:rPr>
      </w:pPr>
      <w:r w:rsidRPr="009019EB">
        <w:rPr>
          <w:rFonts w:ascii="宋体" w:hAnsi="宋体" w:hint="eastAsia"/>
          <w:b/>
          <w:bCs/>
          <w:sz w:val="28"/>
          <w:szCs w:val="24"/>
        </w:rPr>
        <w:t>北京大学人民医院</w:t>
      </w:r>
      <w:r w:rsidR="00F324DF" w:rsidRPr="009019EB">
        <w:rPr>
          <w:rFonts w:ascii="宋体" w:hAnsi="宋体" w:hint="eastAsia"/>
          <w:b/>
          <w:bCs/>
          <w:sz w:val="28"/>
          <w:szCs w:val="24"/>
        </w:rPr>
        <w:t>大运河医学论坛会务服务</w:t>
      </w:r>
      <w:r w:rsidR="009B0DB5" w:rsidRPr="009019EB">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74670F7E" w14:textId="05B9EAEB"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F324DF" w:rsidRPr="009019EB">
        <w:rPr>
          <w:rFonts w:ascii="宋体" w:hAnsi="宋体" w:hint="eastAsia"/>
          <w:bCs/>
          <w:sz w:val="24"/>
          <w:szCs w:val="24"/>
        </w:rPr>
        <w:t>大运河医学论坛会务服务项目</w:t>
      </w:r>
    </w:p>
    <w:p w14:paraId="740CB522" w14:textId="40ACF7D4"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07057A" w:rsidRPr="009019EB">
        <w:rPr>
          <w:rFonts w:ascii="宋体" w:hAnsi="宋体" w:hint="eastAsia"/>
          <w:bCs/>
          <w:sz w:val="24"/>
          <w:szCs w:val="24"/>
        </w:rPr>
        <w:t>我院拟对2</w:t>
      </w:r>
      <w:r w:rsidR="0007057A" w:rsidRPr="009019EB">
        <w:rPr>
          <w:rFonts w:ascii="宋体" w:hAnsi="宋体"/>
          <w:bCs/>
          <w:sz w:val="24"/>
          <w:szCs w:val="24"/>
        </w:rPr>
        <w:t>02</w:t>
      </w:r>
      <w:r w:rsidR="00213DA1">
        <w:rPr>
          <w:rFonts w:ascii="宋体" w:hAnsi="宋体"/>
          <w:bCs/>
          <w:sz w:val="24"/>
          <w:szCs w:val="24"/>
        </w:rPr>
        <w:t>5</w:t>
      </w:r>
      <w:r w:rsidR="0007057A" w:rsidRPr="009019EB">
        <w:rPr>
          <w:rFonts w:ascii="宋体" w:hAnsi="宋体" w:hint="eastAsia"/>
          <w:bCs/>
          <w:sz w:val="24"/>
          <w:szCs w:val="24"/>
        </w:rPr>
        <w:t>年</w:t>
      </w:r>
      <w:r w:rsidR="00A01B83" w:rsidRPr="009019EB">
        <w:rPr>
          <w:rFonts w:ascii="宋体" w:hAnsi="宋体" w:hint="eastAsia"/>
          <w:bCs/>
          <w:sz w:val="24"/>
          <w:szCs w:val="24"/>
        </w:rPr>
        <w:t>3月</w:t>
      </w:r>
      <w:r w:rsidR="009E63EE">
        <w:rPr>
          <w:rFonts w:ascii="宋体" w:hAnsi="宋体"/>
          <w:bCs/>
          <w:sz w:val="24"/>
          <w:szCs w:val="24"/>
        </w:rPr>
        <w:t>29</w:t>
      </w:r>
      <w:r w:rsidR="00A01B83" w:rsidRPr="009019EB">
        <w:rPr>
          <w:rFonts w:ascii="宋体" w:hAnsi="宋体" w:hint="eastAsia"/>
          <w:bCs/>
          <w:sz w:val="24"/>
          <w:szCs w:val="24"/>
        </w:rPr>
        <w:t>日举办第</w:t>
      </w:r>
      <w:r w:rsidR="009E63EE">
        <w:rPr>
          <w:rFonts w:ascii="宋体" w:hAnsi="宋体" w:hint="eastAsia"/>
          <w:bCs/>
          <w:sz w:val="24"/>
          <w:szCs w:val="24"/>
        </w:rPr>
        <w:t>三</w:t>
      </w:r>
      <w:r w:rsidR="00A01B83" w:rsidRPr="009019EB">
        <w:rPr>
          <w:rFonts w:ascii="宋体" w:hAnsi="宋体" w:hint="eastAsia"/>
          <w:bCs/>
          <w:sz w:val="24"/>
          <w:szCs w:val="24"/>
        </w:rPr>
        <w:t>届大运河医学论坛，需专业公司提供</w:t>
      </w:r>
      <w:r w:rsidR="00632FD2">
        <w:rPr>
          <w:rFonts w:ascii="宋体" w:hAnsi="宋体" w:hint="eastAsia"/>
          <w:bCs/>
          <w:sz w:val="24"/>
          <w:szCs w:val="24"/>
        </w:rPr>
        <w:t>约1</w:t>
      </w:r>
      <w:r w:rsidR="00632FD2">
        <w:rPr>
          <w:rFonts w:ascii="宋体" w:hAnsi="宋体"/>
          <w:bCs/>
          <w:sz w:val="24"/>
          <w:szCs w:val="24"/>
        </w:rPr>
        <w:t>200</w:t>
      </w:r>
      <w:r w:rsidR="00632FD2">
        <w:rPr>
          <w:rFonts w:ascii="宋体" w:hAnsi="宋体" w:hint="eastAsia"/>
          <w:bCs/>
          <w:sz w:val="24"/>
          <w:szCs w:val="24"/>
        </w:rPr>
        <w:t>人的</w:t>
      </w:r>
      <w:r w:rsidR="00A01B83" w:rsidRPr="009019EB">
        <w:rPr>
          <w:rFonts w:ascii="宋体" w:hAnsi="宋体" w:hint="eastAsia"/>
          <w:bCs/>
          <w:sz w:val="24"/>
          <w:szCs w:val="24"/>
        </w:rPr>
        <w:t>会务服务</w:t>
      </w:r>
      <w:r w:rsidR="00B07452" w:rsidRPr="009019EB">
        <w:rPr>
          <w:rFonts w:ascii="宋体" w:hAnsi="宋体" w:hint="eastAsia"/>
          <w:bCs/>
          <w:sz w:val="24"/>
          <w:szCs w:val="24"/>
        </w:rPr>
        <w:t>。</w:t>
      </w:r>
    </w:p>
    <w:p w14:paraId="2AC32FA1" w14:textId="291031FD"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46093B" w:rsidRPr="009019EB">
        <w:rPr>
          <w:rFonts w:ascii="宋体" w:hAnsi="宋体"/>
          <w:bCs/>
          <w:sz w:val="24"/>
          <w:szCs w:val="24"/>
        </w:rPr>
        <w:t>27</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D67AD74"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6093B" w:rsidRPr="009019EB">
        <w:rPr>
          <w:rFonts w:ascii="宋体" w:hAnsi="宋体" w:hint="eastAsia"/>
          <w:bCs/>
          <w:sz w:val="24"/>
          <w:szCs w:val="24"/>
        </w:rPr>
        <w:t>专项</w:t>
      </w:r>
      <w:r w:rsidRPr="009019EB">
        <w:rPr>
          <w:rFonts w:ascii="宋体" w:hAnsi="宋体" w:hint="eastAsia"/>
          <w:bCs/>
          <w:sz w:val="24"/>
          <w:szCs w:val="24"/>
        </w:rPr>
        <w:t>资金</w:t>
      </w:r>
    </w:p>
    <w:p w14:paraId="41EDA91F" w14:textId="2046ACF1"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F973B7" w:rsidRPr="009019EB">
        <w:rPr>
          <w:rFonts w:ascii="宋体" w:hAnsi="宋体" w:hint="eastAsia"/>
          <w:bCs/>
          <w:sz w:val="24"/>
          <w:szCs w:val="24"/>
        </w:rPr>
        <w:t>项目期限</w:t>
      </w:r>
      <w:r w:rsidR="0046093B" w:rsidRPr="009019EB">
        <w:rPr>
          <w:rFonts w:ascii="宋体" w:hAnsi="宋体" w:hint="eastAsia"/>
          <w:bCs/>
          <w:sz w:val="24"/>
          <w:szCs w:val="24"/>
        </w:rPr>
        <w:t>：合同签订之日起至</w:t>
      </w:r>
      <w:r w:rsidR="0046093B" w:rsidRPr="009019EB">
        <w:rPr>
          <w:rFonts w:ascii="宋体" w:hAnsi="宋体"/>
          <w:bCs/>
          <w:sz w:val="24"/>
          <w:szCs w:val="24"/>
        </w:rPr>
        <w:t>202</w:t>
      </w:r>
      <w:r w:rsidR="00C719AE">
        <w:rPr>
          <w:rFonts w:ascii="宋体" w:hAnsi="宋体"/>
          <w:bCs/>
          <w:sz w:val="24"/>
          <w:szCs w:val="24"/>
        </w:rPr>
        <w:t>5</w:t>
      </w:r>
      <w:r w:rsidR="0046093B" w:rsidRPr="009019EB">
        <w:rPr>
          <w:rFonts w:ascii="宋体" w:hAnsi="宋体" w:hint="eastAsia"/>
          <w:bCs/>
          <w:sz w:val="24"/>
          <w:szCs w:val="24"/>
        </w:rPr>
        <w:t>年3月</w:t>
      </w:r>
      <w:r w:rsidR="009E63EE">
        <w:rPr>
          <w:rFonts w:ascii="宋体" w:hAnsi="宋体"/>
          <w:bCs/>
          <w:sz w:val="24"/>
          <w:szCs w:val="24"/>
        </w:rPr>
        <w:t>29</w:t>
      </w:r>
      <w:r w:rsidR="0046093B" w:rsidRPr="009019EB">
        <w:rPr>
          <w:rFonts w:ascii="宋体" w:hAnsi="宋体" w:hint="eastAsia"/>
          <w:bCs/>
          <w:sz w:val="24"/>
          <w:szCs w:val="24"/>
        </w:rPr>
        <w:t>日</w:t>
      </w:r>
    </w:p>
    <w:p w14:paraId="64517A1A" w14:textId="3B221EE4" w:rsidR="00CF015A" w:rsidRPr="009019EB" w:rsidRDefault="00CF015A" w:rsidP="009019EB">
      <w:pPr>
        <w:widowControl/>
        <w:spacing w:line="276" w:lineRule="auto"/>
        <w:ind w:firstLine="480"/>
        <w:jc w:val="left"/>
        <w:rPr>
          <w:rFonts w:ascii="宋体" w:hAnsi="宋体"/>
          <w:bCs/>
          <w:sz w:val="24"/>
          <w:szCs w:val="24"/>
        </w:rPr>
      </w:pPr>
      <w:r>
        <w:rPr>
          <w:rFonts w:ascii="宋体" w:hAnsi="宋体" w:hint="eastAsia"/>
          <w:bCs/>
          <w:sz w:val="24"/>
          <w:szCs w:val="24"/>
        </w:rPr>
        <w:t>6、会议地点：</w:t>
      </w:r>
      <w:r w:rsidRPr="00CF015A">
        <w:rPr>
          <w:rFonts w:ascii="宋体" w:hAnsi="宋体" w:hint="eastAsia"/>
          <w:bCs/>
          <w:sz w:val="24"/>
          <w:szCs w:val="24"/>
        </w:rPr>
        <w:t>北京市阳光国际会议中心（北京市通州区西集镇儒林村南1号）</w:t>
      </w:r>
    </w:p>
    <w:p w14:paraId="366EF424" w14:textId="07FAD574" w:rsidR="00442DDD" w:rsidRPr="009019EB" w:rsidRDefault="002E3CA4" w:rsidP="009019EB">
      <w:pPr>
        <w:widowControl/>
        <w:spacing w:line="276" w:lineRule="auto"/>
        <w:ind w:firstLine="480"/>
        <w:jc w:val="left"/>
        <w:rPr>
          <w:rFonts w:ascii="宋体" w:hAnsi="宋体"/>
          <w:bCs/>
          <w:sz w:val="24"/>
          <w:szCs w:val="24"/>
        </w:rPr>
      </w:pPr>
      <w:r>
        <w:rPr>
          <w:rFonts w:ascii="宋体" w:hAnsi="宋体"/>
          <w:bCs/>
          <w:sz w:val="24"/>
          <w:szCs w:val="24"/>
        </w:rPr>
        <w:t>7</w:t>
      </w:r>
      <w:bookmarkStart w:id="0" w:name="_GoBack"/>
      <w:bookmarkEnd w:id="0"/>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698D3FA5"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C719AE">
        <w:t>3</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财务审计报告复印件或近三个月公司的财务报表（资产负债表、利润表、现金流量表）。成立不满一年的，提供自成立至今的财务报表或近半年银行出具的资信证明材料。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6D284EF3"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C719AE">
        <w:t>2</w:t>
      </w:r>
      <w:r w:rsidRPr="009019EB">
        <w:t>年</w:t>
      </w:r>
      <w:r w:rsidR="00C719AE">
        <w:t>2</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6E7CCFAD" w14:textId="5E1159D8" w:rsidR="00B94C30" w:rsidRPr="00B94C30" w:rsidRDefault="00B94C30" w:rsidP="00B94C30">
      <w:pPr>
        <w:pStyle w:val="af3"/>
        <w:numPr>
          <w:ilvl w:val="0"/>
          <w:numId w:val="7"/>
        </w:numPr>
        <w:spacing w:line="276" w:lineRule="auto"/>
      </w:pPr>
      <w:r w:rsidRPr="00B94C30">
        <w:rPr>
          <w:rFonts w:hint="eastAsia"/>
        </w:rPr>
        <w:t>会议前期流程设计宣传</w:t>
      </w:r>
    </w:p>
    <w:p w14:paraId="45380021" w14:textId="3E0BFC4D" w:rsidR="00B94C30" w:rsidRPr="00B94C30" w:rsidRDefault="00B94C30" w:rsidP="00B94C30">
      <w:pPr>
        <w:pStyle w:val="af3"/>
        <w:numPr>
          <w:ilvl w:val="0"/>
          <w:numId w:val="7"/>
        </w:numPr>
        <w:spacing w:line="276" w:lineRule="auto"/>
      </w:pPr>
      <w:r w:rsidRPr="00B94C30">
        <w:rPr>
          <w:rFonts w:hint="eastAsia"/>
        </w:rPr>
        <w:t>嘉宾及参会人员联络及食宿行安排</w:t>
      </w:r>
      <w:r w:rsidR="003B4DE7">
        <w:rPr>
          <w:rFonts w:hint="eastAsia"/>
        </w:rPr>
        <w:t>，</w:t>
      </w:r>
      <w:proofErr w:type="gramStart"/>
      <w:r w:rsidR="00624F6F">
        <w:rPr>
          <w:rFonts w:hint="eastAsia"/>
        </w:rPr>
        <w:t>包括</w:t>
      </w:r>
      <w:r w:rsidR="003B4DE7">
        <w:rPr>
          <w:rFonts w:hint="eastAsia"/>
        </w:rPr>
        <w:t>标间2</w:t>
      </w:r>
      <w:r w:rsidR="003B4DE7">
        <w:t>0</w:t>
      </w:r>
      <w:r w:rsidR="003B4DE7">
        <w:rPr>
          <w:rFonts w:hint="eastAsia"/>
        </w:rPr>
        <w:t>间</w:t>
      </w:r>
      <w:proofErr w:type="gramEnd"/>
      <w:r w:rsidR="003B4DE7">
        <w:rPr>
          <w:rFonts w:hint="eastAsia"/>
        </w:rPr>
        <w:t>/晚、套间5间/晚</w:t>
      </w:r>
      <w:r w:rsidR="0019491F">
        <w:rPr>
          <w:rFonts w:hint="eastAsia"/>
        </w:rPr>
        <w:t>、</w:t>
      </w:r>
      <w:r w:rsidR="009C3E5F">
        <w:rPr>
          <w:rFonts w:hint="eastAsia"/>
        </w:rPr>
        <w:t>约1</w:t>
      </w:r>
      <w:r w:rsidR="009C3E5F">
        <w:t>200</w:t>
      </w:r>
      <w:r w:rsidR="009C3E5F">
        <w:rPr>
          <w:rFonts w:hint="eastAsia"/>
        </w:rPr>
        <w:t>人早、午餐。</w:t>
      </w:r>
    </w:p>
    <w:p w14:paraId="1069DB91" w14:textId="2FE498F6" w:rsidR="00B94C30" w:rsidRPr="00B94C30" w:rsidRDefault="00B94C30" w:rsidP="00B94C30">
      <w:pPr>
        <w:pStyle w:val="af3"/>
        <w:numPr>
          <w:ilvl w:val="0"/>
          <w:numId w:val="7"/>
        </w:numPr>
        <w:spacing w:line="276" w:lineRule="auto"/>
      </w:pPr>
      <w:r w:rsidRPr="00B94C30">
        <w:rPr>
          <w:rFonts w:hint="eastAsia"/>
        </w:rPr>
        <w:t>会议设计及会议材料制作</w:t>
      </w:r>
    </w:p>
    <w:p w14:paraId="4818FA87" w14:textId="0E550261" w:rsidR="00B94C30" w:rsidRPr="00B94C30" w:rsidRDefault="00B94C30" w:rsidP="00B94C30">
      <w:pPr>
        <w:pStyle w:val="af3"/>
        <w:numPr>
          <w:ilvl w:val="0"/>
          <w:numId w:val="7"/>
        </w:numPr>
        <w:spacing w:line="276" w:lineRule="auto"/>
      </w:pPr>
      <w:r w:rsidRPr="00B94C30">
        <w:rPr>
          <w:rFonts w:hint="eastAsia"/>
        </w:rPr>
        <w:t>会场布置及设备搭建</w:t>
      </w:r>
      <w:r w:rsidR="003B4DE7">
        <w:rPr>
          <w:rFonts w:hint="eastAsia"/>
        </w:rPr>
        <w:t>，</w:t>
      </w:r>
      <w:r w:rsidR="0059390F">
        <w:rPr>
          <w:rFonts w:hint="eastAsia"/>
        </w:rPr>
        <w:t>需提供设备</w:t>
      </w:r>
      <w:r w:rsidR="00C53D61">
        <w:rPr>
          <w:rFonts w:hint="eastAsia"/>
        </w:rPr>
        <w:t>包括</w:t>
      </w:r>
      <w:r w:rsidR="0059390F">
        <w:rPr>
          <w:rFonts w:hint="eastAsia"/>
        </w:rPr>
        <w:t>会议背景板1</w:t>
      </w:r>
      <w:r w:rsidR="0059390F">
        <w:t>5</w:t>
      </w:r>
      <w:r w:rsidR="0059390F">
        <w:rPr>
          <w:rFonts w:hint="eastAsia"/>
        </w:rPr>
        <w:t>块、舞台</w:t>
      </w:r>
      <w:r w:rsidR="00C53D61">
        <w:rPr>
          <w:rFonts w:hint="eastAsia"/>
        </w:rPr>
        <w:t>搭建</w:t>
      </w:r>
      <w:r w:rsidR="0059390F">
        <w:rPr>
          <w:rFonts w:hint="eastAsia"/>
        </w:rPr>
        <w:t>4</w:t>
      </w:r>
      <w:r w:rsidR="0059390F">
        <w:t>8</w:t>
      </w:r>
      <w:r w:rsidR="00C53D61">
        <w:rPr>
          <w:rFonts w:hint="eastAsia"/>
        </w:rPr>
        <w:t>㎡</w:t>
      </w:r>
      <w:r w:rsidR="0059390F">
        <w:rPr>
          <w:rFonts w:hint="eastAsia"/>
        </w:rPr>
        <w:t>、</w:t>
      </w:r>
      <w:r w:rsidR="00C53D61">
        <w:rPr>
          <w:rFonts w:hint="eastAsia"/>
        </w:rPr>
        <w:t>L</w:t>
      </w:r>
      <w:r w:rsidR="00C53D61">
        <w:t>ED</w:t>
      </w:r>
      <w:r w:rsidR="00C53D61">
        <w:rPr>
          <w:rFonts w:hint="eastAsia"/>
        </w:rPr>
        <w:t>屏幕8</w:t>
      </w:r>
      <w:r w:rsidR="00C53D61">
        <w:t>2</w:t>
      </w:r>
      <w:r w:rsidR="00C53D61">
        <w:rPr>
          <w:rFonts w:hint="eastAsia"/>
        </w:rPr>
        <w:t>㎡、音响设备1</w:t>
      </w:r>
      <w:r w:rsidR="00C53D61">
        <w:t>0</w:t>
      </w:r>
      <w:r w:rsidR="00C53D61">
        <w:rPr>
          <w:rFonts w:hint="eastAsia"/>
        </w:rPr>
        <w:t>套、</w:t>
      </w:r>
      <w:proofErr w:type="gramStart"/>
      <w:r w:rsidR="00C53D61">
        <w:rPr>
          <w:rFonts w:hint="eastAsia"/>
        </w:rPr>
        <w:t>返送电视</w:t>
      </w:r>
      <w:proofErr w:type="gramEnd"/>
      <w:r w:rsidR="00C53D61">
        <w:rPr>
          <w:rFonts w:hint="eastAsia"/>
        </w:rPr>
        <w:t>7台、笔记本电脑2</w:t>
      </w:r>
      <w:r w:rsidR="00C53D61">
        <w:t>1</w:t>
      </w:r>
      <w:r w:rsidR="00C53D61">
        <w:rPr>
          <w:rFonts w:hint="eastAsia"/>
        </w:rPr>
        <w:t>台。</w:t>
      </w:r>
    </w:p>
    <w:p w14:paraId="014FF75F" w14:textId="2FDAD956" w:rsidR="00B94C30" w:rsidRPr="00B94C30" w:rsidRDefault="00B94C30" w:rsidP="00B94C30">
      <w:pPr>
        <w:pStyle w:val="af3"/>
        <w:numPr>
          <w:ilvl w:val="0"/>
          <w:numId w:val="7"/>
        </w:numPr>
        <w:spacing w:line="276" w:lineRule="auto"/>
      </w:pPr>
      <w:r w:rsidRPr="00B94C30">
        <w:rPr>
          <w:rFonts w:hint="eastAsia"/>
        </w:rPr>
        <w:lastRenderedPageBreak/>
        <w:t>会议签到、引领、材料发放、设备管理等会场服务</w:t>
      </w:r>
    </w:p>
    <w:p w14:paraId="73D1A152" w14:textId="79E676F2" w:rsidR="00B94C30" w:rsidRPr="00B94C30" w:rsidRDefault="00B94C30" w:rsidP="00B94C30">
      <w:pPr>
        <w:pStyle w:val="af3"/>
        <w:numPr>
          <w:ilvl w:val="0"/>
          <w:numId w:val="7"/>
        </w:numPr>
        <w:spacing w:line="276" w:lineRule="auto"/>
      </w:pPr>
      <w:r w:rsidRPr="00B94C30">
        <w:rPr>
          <w:rFonts w:hint="eastAsia"/>
        </w:rPr>
        <w:t>媒体沟通及接待</w:t>
      </w:r>
    </w:p>
    <w:p w14:paraId="4C26AE44" w14:textId="654FBB8A" w:rsidR="00B94C30" w:rsidRPr="00B94C30" w:rsidRDefault="00B94C30" w:rsidP="00B94C30">
      <w:pPr>
        <w:pStyle w:val="af3"/>
        <w:numPr>
          <w:ilvl w:val="0"/>
          <w:numId w:val="7"/>
        </w:numPr>
        <w:spacing w:line="276" w:lineRule="auto"/>
      </w:pPr>
      <w:r w:rsidRPr="00B94C30">
        <w:rPr>
          <w:rFonts w:hint="eastAsia"/>
        </w:rPr>
        <w:t>车辆管理</w:t>
      </w:r>
      <w:r w:rsidR="003B4DE7">
        <w:rPr>
          <w:rFonts w:hint="eastAsia"/>
        </w:rPr>
        <w:t>，</w:t>
      </w:r>
      <w:r w:rsidR="0019491F">
        <w:rPr>
          <w:rFonts w:hint="eastAsia"/>
        </w:rPr>
        <w:t>市内接送</w:t>
      </w:r>
      <w:r w:rsidR="003B4DE7">
        <w:rPr>
          <w:rFonts w:hint="eastAsia"/>
        </w:rPr>
        <w:t>5座会议用车1</w:t>
      </w:r>
      <w:r w:rsidR="003B4DE7">
        <w:t>0</w:t>
      </w:r>
      <w:r w:rsidR="003B4DE7">
        <w:rPr>
          <w:rFonts w:hint="eastAsia"/>
        </w:rPr>
        <w:t>辆/天</w:t>
      </w:r>
    </w:p>
    <w:p w14:paraId="02F8463E" w14:textId="209A6BAB" w:rsidR="00B94C30" w:rsidRPr="00B94C30" w:rsidRDefault="00B94C30" w:rsidP="00B94C30">
      <w:pPr>
        <w:pStyle w:val="af3"/>
        <w:numPr>
          <w:ilvl w:val="0"/>
          <w:numId w:val="7"/>
        </w:numPr>
        <w:spacing w:line="276" w:lineRule="auto"/>
      </w:pPr>
      <w:r w:rsidRPr="00B94C30">
        <w:rPr>
          <w:rFonts w:hint="eastAsia"/>
        </w:rPr>
        <w:t>摄影摄像管理及现场服务</w:t>
      </w:r>
    </w:p>
    <w:p w14:paraId="09AB5C58" w14:textId="0F1616AF" w:rsidR="00B94C30" w:rsidRPr="00B94C30" w:rsidRDefault="00B94C30" w:rsidP="00B94C30">
      <w:pPr>
        <w:pStyle w:val="af3"/>
        <w:numPr>
          <w:ilvl w:val="0"/>
          <w:numId w:val="7"/>
        </w:numPr>
        <w:spacing w:line="276" w:lineRule="auto"/>
      </w:pPr>
      <w:r w:rsidRPr="00B94C30">
        <w:rPr>
          <w:rFonts w:hint="eastAsia"/>
        </w:rPr>
        <w:t>会后归档及结算服务</w:t>
      </w:r>
    </w:p>
    <w:p w14:paraId="3D4AACB0" w14:textId="222B5B08" w:rsidR="003B6F80" w:rsidRDefault="00B94C30" w:rsidP="007264C1">
      <w:pPr>
        <w:pStyle w:val="af3"/>
        <w:numPr>
          <w:ilvl w:val="0"/>
          <w:numId w:val="7"/>
        </w:numPr>
        <w:spacing w:line="276" w:lineRule="auto"/>
      </w:pPr>
      <w:r w:rsidRPr="00B94C30">
        <w:rPr>
          <w:rFonts w:hint="eastAsia"/>
        </w:rPr>
        <w:t>其他</w:t>
      </w:r>
    </w:p>
    <w:p w14:paraId="74500976" w14:textId="77777777" w:rsidR="007264C1" w:rsidRPr="009019EB" w:rsidRDefault="007264C1" w:rsidP="007264C1">
      <w:pPr>
        <w:pStyle w:val="af3"/>
        <w:spacing w:line="276" w:lineRule="auto"/>
        <w:ind w:left="480"/>
      </w:pP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3EF9C14D"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4052F20F"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2A0D69">
        <w:rPr>
          <w:rFonts w:ascii="宋体" w:hAnsi="宋体" w:cs="宋体"/>
          <w:kern w:val="0"/>
          <w:sz w:val="24"/>
          <w:szCs w:val="24"/>
        </w:rPr>
        <w:t>2</w:t>
      </w:r>
      <w:r w:rsidRPr="009019EB">
        <w:rPr>
          <w:rFonts w:ascii="宋体" w:hAnsi="宋体" w:cs="宋体" w:hint="eastAsia"/>
          <w:kern w:val="0"/>
          <w:sz w:val="24"/>
          <w:szCs w:val="24"/>
        </w:rPr>
        <w:t>年</w:t>
      </w:r>
      <w:r w:rsidR="002A0D69">
        <w:rPr>
          <w:rFonts w:ascii="宋体" w:hAnsi="宋体" w:cs="宋体"/>
          <w:kern w:val="0"/>
          <w:sz w:val="24"/>
          <w:szCs w:val="24"/>
        </w:rPr>
        <w:t>2</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0DC07083" w14:textId="2FB23AA5" w:rsidR="00613A75" w:rsidRDefault="001828EB" w:rsidP="00EF0B7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tbl>
      <w:tblPr>
        <w:tblStyle w:val="af6"/>
        <w:tblW w:w="0" w:type="auto"/>
        <w:jc w:val="center"/>
        <w:tblLook w:val="04A0" w:firstRow="1" w:lastRow="0" w:firstColumn="1" w:lastColumn="0" w:noHBand="0" w:noVBand="1"/>
      </w:tblPr>
      <w:tblGrid>
        <w:gridCol w:w="704"/>
        <w:gridCol w:w="2693"/>
        <w:gridCol w:w="851"/>
        <w:gridCol w:w="1276"/>
        <w:gridCol w:w="1275"/>
        <w:gridCol w:w="1276"/>
      </w:tblGrid>
      <w:tr w:rsidR="0019491F" w14:paraId="107420D2" w14:textId="77777777" w:rsidTr="00624F6F">
        <w:trPr>
          <w:trHeight w:val="649"/>
          <w:jc w:val="center"/>
        </w:trPr>
        <w:tc>
          <w:tcPr>
            <w:tcW w:w="8075" w:type="dxa"/>
            <w:gridSpan w:val="6"/>
            <w:vAlign w:val="center"/>
          </w:tcPr>
          <w:p w14:paraId="265E7325" w14:textId="435737BB" w:rsidR="0019491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报价单</w:t>
            </w:r>
          </w:p>
        </w:tc>
      </w:tr>
      <w:tr w:rsidR="00624F6F" w14:paraId="67E05EF6" w14:textId="77777777" w:rsidTr="00624F6F">
        <w:trPr>
          <w:jc w:val="center"/>
        </w:trPr>
        <w:tc>
          <w:tcPr>
            <w:tcW w:w="704" w:type="dxa"/>
          </w:tcPr>
          <w:p w14:paraId="521BCB9D" w14:textId="780E6545"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693" w:type="dxa"/>
          </w:tcPr>
          <w:p w14:paraId="0F5F3023" w14:textId="688653AF"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项目</w:t>
            </w:r>
          </w:p>
        </w:tc>
        <w:tc>
          <w:tcPr>
            <w:tcW w:w="851" w:type="dxa"/>
          </w:tcPr>
          <w:p w14:paraId="51C669FB" w14:textId="6D2F893A"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单位</w:t>
            </w:r>
          </w:p>
        </w:tc>
        <w:tc>
          <w:tcPr>
            <w:tcW w:w="1276" w:type="dxa"/>
          </w:tcPr>
          <w:p w14:paraId="43DCB606" w14:textId="68CCAB9D"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数量</w:t>
            </w:r>
          </w:p>
        </w:tc>
        <w:tc>
          <w:tcPr>
            <w:tcW w:w="1275" w:type="dxa"/>
          </w:tcPr>
          <w:p w14:paraId="053FD6FB" w14:textId="07C80986"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单价</w:t>
            </w:r>
          </w:p>
        </w:tc>
        <w:tc>
          <w:tcPr>
            <w:tcW w:w="1276" w:type="dxa"/>
          </w:tcPr>
          <w:p w14:paraId="7D2703A4" w14:textId="531AE353"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合计</w:t>
            </w:r>
          </w:p>
        </w:tc>
      </w:tr>
      <w:tr w:rsidR="00624F6F" w14:paraId="3F1E0D18" w14:textId="77777777" w:rsidTr="00624F6F">
        <w:trPr>
          <w:jc w:val="center"/>
        </w:trPr>
        <w:tc>
          <w:tcPr>
            <w:tcW w:w="704" w:type="dxa"/>
          </w:tcPr>
          <w:p w14:paraId="25A80452" w14:textId="5FBA8C0B"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kern w:val="0"/>
                <w:sz w:val="24"/>
                <w:szCs w:val="24"/>
              </w:rPr>
              <w:t>1</w:t>
            </w:r>
          </w:p>
        </w:tc>
        <w:tc>
          <w:tcPr>
            <w:tcW w:w="2693" w:type="dxa"/>
          </w:tcPr>
          <w:p w14:paraId="39BA886B" w14:textId="2E55C276"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设计宣传</w:t>
            </w:r>
            <w:r>
              <w:rPr>
                <w:rFonts w:hAnsi="Arial" w:cs="Arial" w:hint="eastAsia"/>
                <w:color w:val="000000" w:themeColor="text1"/>
                <w:kern w:val="24"/>
                <w:sz w:val="22"/>
              </w:rPr>
              <w:t>费</w:t>
            </w:r>
          </w:p>
        </w:tc>
        <w:tc>
          <w:tcPr>
            <w:tcW w:w="851" w:type="dxa"/>
          </w:tcPr>
          <w:p w14:paraId="4410476A" w14:textId="22F3647C" w:rsidR="00624F6F" w:rsidRDefault="00624F6F" w:rsidP="00624F6F">
            <w:pPr>
              <w:widowControl/>
              <w:spacing w:line="276" w:lineRule="auto"/>
              <w:ind w:firstLineChars="0" w:firstLine="0"/>
              <w:jc w:val="center"/>
              <w:rPr>
                <w:rFonts w:ascii="宋体" w:hAnsi="宋体" w:cs="宋体"/>
                <w:kern w:val="0"/>
                <w:sz w:val="24"/>
                <w:szCs w:val="24"/>
              </w:rPr>
            </w:pPr>
            <w:r>
              <w:rPr>
                <w:rFonts w:hAnsi="宋体" w:cs="宋体" w:hint="eastAsia"/>
                <w:kern w:val="0"/>
                <w:sz w:val="24"/>
              </w:rPr>
              <w:t>项</w:t>
            </w:r>
          </w:p>
        </w:tc>
        <w:tc>
          <w:tcPr>
            <w:tcW w:w="1276" w:type="dxa"/>
          </w:tcPr>
          <w:p w14:paraId="3F907F7B" w14:textId="56E1172C" w:rsidR="00624F6F" w:rsidRDefault="00624F6F" w:rsidP="00624F6F">
            <w:pPr>
              <w:widowControl/>
              <w:spacing w:line="276" w:lineRule="auto"/>
              <w:ind w:firstLineChars="0" w:firstLine="0"/>
              <w:jc w:val="center"/>
              <w:rPr>
                <w:rFonts w:ascii="宋体" w:hAnsi="宋体" w:cs="宋体"/>
                <w:kern w:val="0"/>
                <w:sz w:val="24"/>
                <w:szCs w:val="24"/>
              </w:rPr>
            </w:pPr>
            <w:r>
              <w:rPr>
                <w:rFonts w:cs="Calibri"/>
                <w:color w:val="000000" w:themeColor="text1"/>
                <w:kern w:val="24"/>
                <w:sz w:val="22"/>
              </w:rPr>
              <w:t>1</w:t>
            </w:r>
          </w:p>
        </w:tc>
        <w:tc>
          <w:tcPr>
            <w:tcW w:w="1275" w:type="dxa"/>
          </w:tcPr>
          <w:p w14:paraId="25776096" w14:textId="6C683E39" w:rsidR="00624F6F" w:rsidRDefault="00624F6F" w:rsidP="00624F6F">
            <w:pPr>
              <w:widowControl/>
              <w:spacing w:line="276" w:lineRule="auto"/>
              <w:ind w:firstLineChars="0" w:firstLine="0"/>
              <w:jc w:val="center"/>
              <w:rPr>
                <w:rFonts w:ascii="宋体" w:hAnsi="宋体" w:cs="宋体"/>
                <w:kern w:val="0"/>
                <w:sz w:val="24"/>
                <w:szCs w:val="24"/>
              </w:rPr>
            </w:pPr>
          </w:p>
        </w:tc>
        <w:tc>
          <w:tcPr>
            <w:tcW w:w="1276" w:type="dxa"/>
          </w:tcPr>
          <w:p w14:paraId="6FC1183B" w14:textId="7A1D8C63" w:rsidR="00624F6F" w:rsidRDefault="00624F6F" w:rsidP="00624F6F">
            <w:pPr>
              <w:widowControl/>
              <w:spacing w:line="276" w:lineRule="auto"/>
              <w:ind w:firstLineChars="0" w:firstLine="0"/>
              <w:jc w:val="center"/>
              <w:rPr>
                <w:rFonts w:ascii="宋体" w:hAnsi="宋体" w:cs="宋体"/>
                <w:kern w:val="0"/>
                <w:sz w:val="24"/>
                <w:szCs w:val="24"/>
              </w:rPr>
            </w:pPr>
          </w:p>
        </w:tc>
      </w:tr>
      <w:tr w:rsidR="00624F6F" w14:paraId="7B29F2E8" w14:textId="77777777" w:rsidTr="00624F6F">
        <w:trPr>
          <w:jc w:val="center"/>
        </w:trPr>
        <w:tc>
          <w:tcPr>
            <w:tcW w:w="704" w:type="dxa"/>
          </w:tcPr>
          <w:p w14:paraId="7EE9299B" w14:textId="7182DFD8"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kern w:val="0"/>
                <w:sz w:val="24"/>
                <w:szCs w:val="24"/>
              </w:rPr>
              <w:t>2</w:t>
            </w:r>
          </w:p>
        </w:tc>
        <w:tc>
          <w:tcPr>
            <w:tcW w:w="2693" w:type="dxa"/>
          </w:tcPr>
          <w:p w14:paraId="51EE21FC" w14:textId="37C425F6"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嘉宾及参会人员联络及食宿行安排</w:t>
            </w:r>
          </w:p>
        </w:tc>
        <w:tc>
          <w:tcPr>
            <w:tcW w:w="851" w:type="dxa"/>
          </w:tcPr>
          <w:p w14:paraId="379A91FF" w14:textId="67A01263" w:rsidR="00624F6F" w:rsidRDefault="00624F6F" w:rsidP="00624F6F">
            <w:pPr>
              <w:widowControl/>
              <w:spacing w:line="276" w:lineRule="auto"/>
              <w:ind w:firstLineChars="0" w:firstLine="0"/>
              <w:jc w:val="center"/>
              <w:rPr>
                <w:rFonts w:ascii="宋体" w:hAnsi="宋体" w:cs="宋体"/>
                <w:kern w:val="0"/>
                <w:sz w:val="24"/>
                <w:szCs w:val="24"/>
              </w:rPr>
            </w:pPr>
            <w:r>
              <w:rPr>
                <w:rFonts w:hAnsi="宋体" w:cs="宋体" w:hint="eastAsia"/>
                <w:kern w:val="0"/>
                <w:sz w:val="24"/>
              </w:rPr>
              <w:t>项</w:t>
            </w:r>
          </w:p>
        </w:tc>
        <w:tc>
          <w:tcPr>
            <w:tcW w:w="1276" w:type="dxa"/>
          </w:tcPr>
          <w:p w14:paraId="3FDFA81F" w14:textId="514AE59F" w:rsidR="00624F6F" w:rsidRDefault="00624F6F" w:rsidP="00624F6F">
            <w:pPr>
              <w:widowControl/>
              <w:spacing w:line="276" w:lineRule="auto"/>
              <w:ind w:firstLineChars="0" w:firstLine="0"/>
              <w:jc w:val="center"/>
              <w:rPr>
                <w:rFonts w:ascii="宋体" w:hAnsi="宋体" w:cs="宋体"/>
                <w:kern w:val="0"/>
                <w:sz w:val="24"/>
                <w:szCs w:val="24"/>
              </w:rPr>
            </w:pPr>
            <w:r>
              <w:rPr>
                <w:rFonts w:cs="Calibri"/>
                <w:color w:val="000000" w:themeColor="text1"/>
                <w:kern w:val="24"/>
                <w:sz w:val="22"/>
              </w:rPr>
              <w:t>1</w:t>
            </w:r>
          </w:p>
        </w:tc>
        <w:tc>
          <w:tcPr>
            <w:tcW w:w="1275" w:type="dxa"/>
          </w:tcPr>
          <w:p w14:paraId="024187DB" w14:textId="10B87221" w:rsidR="00624F6F" w:rsidRDefault="00624F6F" w:rsidP="00624F6F">
            <w:pPr>
              <w:widowControl/>
              <w:spacing w:line="276" w:lineRule="auto"/>
              <w:ind w:firstLineChars="0" w:firstLine="0"/>
              <w:jc w:val="center"/>
              <w:rPr>
                <w:rFonts w:ascii="宋体" w:hAnsi="宋体" w:cs="宋体"/>
                <w:kern w:val="0"/>
                <w:sz w:val="24"/>
                <w:szCs w:val="24"/>
              </w:rPr>
            </w:pPr>
          </w:p>
        </w:tc>
        <w:tc>
          <w:tcPr>
            <w:tcW w:w="1276" w:type="dxa"/>
          </w:tcPr>
          <w:p w14:paraId="270580D3" w14:textId="3C7FE1FD" w:rsidR="00624F6F" w:rsidRDefault="00624F6F" w:rsidP="00624F6F">
            <w:pPr>
              <w:widowControl/>
              <w:spacing w:line="276" w:lineRule="auto"/>
              <w:ind w:firstLineChars="0" w:firstLine="0"/>
              <w:jc w:val="center"/>
              <w:rPr>
                <w:rFonts w:ascii="宋体" w:hAnsi="宋体" w:cs="宋体"/>
                <w:kern w:val="0"/>
                <w:sz w:val="24"/>
                <w:szCs w:val="24"/>
              </w:rPr>
            </w:pPr>
          </w:p>
        </w:tc>
      </w:tr>
      <w:tr w:rsidR="00624F6F" w14:paraId="79E9A768" w14:textId="77777777" w:rsidTr="00624F6F">
        <w:trPr>
          <w:jc w:val="center"/>
        </w:trPr>
        <w:tc>
          <w:tcPr>
            <w:tcW w:w="704" w:type="dxa"/>
          </w:tcPr>
          <w:p w14:paraId="1358B993" w14:textId="44D26126"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693" w:type="dxa"/>
          </w:tcPr>
          <w:p w14:paraId="4DD409A7" w14:textId="1191C011"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会议设计及会议材料制作</w:t>
            </w:r>
          </w:p>
        </w:tc>
        <w:tc>
          <w:tcPr>
            <w:tcW w:w="851" w:type="dxa"/>
          </w:tcPr>
          <w:p w14:paraId="5A832FEC" w14:textId="0D764899" w:rsidR="00624F6F" w:rsidRDefault="00624F6F" w:rsidP="00624F6F">
            <w:pPr>
              <w:widowControl/>
              <w:spacing w:line="276" w:lineRule="auto"/>
              <w:ind w:firstLineChars="0" w:firstLine="0"/>
              <w:jc w:val="center"/>
              <w:rPr>
                <w:rFonts w:ascii="宋体" w:hAnsi="宋体" w:cs="宋体"/>
                <w:kern w:val="0"/>
                <w:sz w:val="24"/>
                <w:szCs w:val="24"/>
              </w:rPr>
            </w:pPr>
            <w:r>
              <w:rPr>
                <w:rFonts w:hAnsi="宋体" w:cs="宋体" w:hint="eastAsia"/>
                <w:kern w:val="0"/>
                <w:sz w:val="24"/>
              </w:rPr>
              <w:t>项</w:t>
            </w:r>
          </w:p>
        </w:tc>
        <w:tc>
          <w:tcPr>
            <w:tcW w:w="1276" w:type="dxa"/>
          </w:tcPr>
          <w:p w14:paraId="75D24BEB" w14:textId="61DE58CF" w:rsidR="00624F6F" w:rsidRDefault="00624F6F" w:rsidP="00624F6F">
            <w:pPr>
              <w:widowControl/>
              <w:spacing w:line="276" w:lineRule="auto"/>
              <w:ind w:firstLineChars="0" w:firstLine="0"/>
              <w:jc w:val="center"/>
              <w:rPr>
                <w:rFonts w:ascii="宋体" w:hAnsi="宋体" w:cs="宋体"/>
                <w:kern w:val="0"/>
                <w:sz w:val="24"/>
                <w:szCs w:val="24"/>
              </w:rPr>
            </w:pPr>
            <w:r>
              <w:rPr>
                <w:rFonts w:cs="Calibri"/>
                <w:color w:val="000000" w:themeColor="text1"/>
                <w:kern w:val="24"/>
                <w:sz w:val="22"/>
              </w:rPr>
              <w:t>1</w:t>
            </w:r>
          </w:p>
        </w:tc>
        <w:tc>
          <w:tcPr>
            <w:tcW w:w="1275" w:type="dxa"/>
          </w:tcPr>
          <w:p w14:paraId="1FB778C0" w14:textId="63968502" w:rsidR="00624F6F" w:rsidRDefault="00624F6F" w:rsidP="00624F6F">
            <w:pPr>
              <w:widowControl/>
              <w:spacing w:line="276" w:lineRule="auto"/>
              <w:ind w:firstLineChars="0" w:firstLine="0"/>
              <w:jc w:val="center"/>
              <w:rPr>
                <w:rFonts w:ascii="宋体" w:hAnsi="宋体" w:cs="宋体"/>
                <w:kern w:val="0"/>
                <w:sz w:val="24"/>
                <w:szCs w:val="24"/>
              </w:rPr>
            </w:pPr>
          </w:p>
        </w:tc>
        <w:tc>
          <w:tcPr>
            <w:tcW w:w="1276" w:type="dxa"/>
          </w:tcPr>
          <w:p w14:paraId="5CA01353" w14:textId="4C704A2C" w:rsidR="00624F6F" w:rsidRDefault="00624F6F" w:rsidP="00624F6F">
            <w:pPr>
              <w:widowControl/>
              <w:spacing w:line="276" w:lineRule="auto"/>
              <w:ind w:firstLineChars="0" w:firstLine="0"/>
              <w:jc w:val="center"/>
              <w:rPr>
                <w:rFonts w:ascii="宋体" w:hAnsi="宋体" w:cs="宋体"/>
                <w:kern w:val="0"/>
                <w:sz w:val="24"/>
                <w:szCs w:val="24"/>
              </w:rPr>
            </w:pPr>
          </w:p>
        </w:tc>
      </w:tr>
      <w:tr w:rsidR="00624F6F" w14:paraId="36323CFE" w14:textId="77777777" w:rsidTr="00624F6F">
        <w:trPr>
          <w:jc w:val="center"/>
        </w:trPr>
        <w:tc>
          <w:tcPr>
            <w:tcW w:w="704" w:type="dxa"/>
          </w:tcPr>
          <w:p w14:paraId="5FF03B41" w14:textId="739AF7CC"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4</w:t>
            </w:r>
          </w:p>
        </w:tc>
        <w:tc>
          <w:tcPr>
            <w:tcW w:w="2693" w:type="dxa"/>
          </w:tcPr>
          <w:p w14:paraId="1E1E0482" w14:textId="590B7D68"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会场布置及设备搭建</w:t>
            </w:r>
          </w:p>
        </w:tc>
        <w:tc>
          <w:tcPr>
            <w:tcW w:w="851" w:type="dxa"/>
          </w:tcPr>
          <w:p w14:paraId="009FA52E" w14:textId="0DCBD820"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079080CC" w14:textId="2A01D4F1"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4DA9D698"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079A6B50"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14:paraId="564077F5" w14:textId="77777777" w:rsidTr="00624F6F">
        <w:trPr>
          <w:jc w:val="center"/>
        </w:trPr>
        <w:tc>
          <w:tcPr>
            <w:tcW w:w="704" w:type="dxa"/>
          </w:tcPr>
          <w:p w14:paraId="02DDAFCA" w14:textId="1B213A48"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5</w:t>
            </w:r>
          </w:p>
        </w:tc>
        <w:tc>
          <w:tcPr>
            <w:tcW w:w="2693" w:type="dxa"/>
          </w:tcPr>
          <w:p w14:paraId="0DAD7B14" w14:textId="04790D49"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会场服务</w:t>
            </w:r>
          </w:p>
        </w:tc>
        <w:tc>
          <w:tcPr>
            <w:tcW w:w="851" w:type="dxa"/>
          </w:tcPr>
          <w:p w14:paraId="53576590" w14:textId="602EF321"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5AE0381A" w14:textId="2352EFEE"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66D521C6"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197D8B17"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14:paraId="71529A5E" w14:textId="77777777" w:rsidTr="00624F6F">
        <w:trPr>
          <w:jc w:val="center"/>
        </w:trPr>
        <w:tc>
          <w:tcPr>
            <w:tcW w:w="704" w:type="dxa"/>
          </w:tcPr>
          <w:p w14:paraId="566AF67D" w14:textId="64C5A8A8"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6</w:t>
            </w:r>
          </w:p>
        </w:tc>
        <w:tc>
          <w:tcPr>
            <w:tcW w:w="2693" w:type="dxa"/>
          </w:tcPr>
          <w:p w14:paraId="607EFD83" w14:textId="2492181C"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媒体沟通及接待</w:t>
            </w:r>
          </w:p>
        </w:tc>
        <w:tc>
          <w:tcPr>
            <w:tcW w:w="851" w:type="dxa"/>
          </w:tcPr>
          <w:p w14:paraId="02D07E35" w14:textId="043218FA"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13867526" w14:textId="3FCB30CA"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2848E7A2"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0FEAFE82"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14:paraId="07FC9103" w14:textId="77777777" w:rsidTr="00624F6F">
        <w:trPr>
          <w:jc w:val="center"/>
        </w:trPr>
        <w:tc>
          <w:tcPr>
            <w:tcW w:w="704" w:type="dxa"/>
          </w:tcPr>
          <w:p w14:paraId="6CB11CA1" w14:textId="0DE42055"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7</w:t>
            </w:r>
          </w:p>
        </w:tc>
        <w:tc>
          <w:tcPr>
            <w:tcW w:w="2693" w:type="dxa"/>
          </w:tcPr>
          <w:p w14:paraId="61A43529" w14:textId="6F03E055"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车辆管理</w:t>
            </w:r>
          </w:p>
        </w:tc>
        <w:tc>
          <w:tcPr>
            <w:tcW w:w="851" w:type="dxa"/>
          </w:tcPr>
          <w:p w14:paraId="73985CA7" w14:textId="10F4D616"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37276F0D" w14:textId="711B791E"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7EDC0D47"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5AF6488A"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14:paraId="0645D1D2" w14:textId="77777777" w:rsidTr="00624F6F">
        <w:trPr>
          <w:jc w:val="center"/>
        </w:trPr>
        <w:tc>
          <w:tcPr>
            <w:tcW w:w="704" w:type="dxa"/>
          </w:tcPr>
          <w:p w14:paraId="57FA92FB" w14:textId="03B9148E"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8</w:t>
            </w:r>
          </w:p>
        </w:tc>
        <w:tc>
          <w:tcPr>
            <w:tcW w:w="2693" w:type="dxa"/>
          </w:tcPr>
          <w:p w14:paraId="42E59ACC" w14:textId="6B1389AF"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摄影摄像管理及现场服务</w:t>
            </w:r>
          </w:p>
        </w:tc>
        <w:tc>
          <w:tcPr>
            <w:tcW w:w="851" w:type="dxa"/>
          </w:tcPr>
          <w:p w14:paraId="7D70685C" w14:textId="1BC5C45D"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5C6092F9" w14:textId="46025588"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7FF3368A"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30805567"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14:paraId="77240BD7" w14:textId="77777777" w:rsidTr="00624F6F">
        <w:trPr>
          <w:jc w:val="center"/>
        </w:trPr>
        <w:tc>
          <w:tcPr>
            <w:tcW w:w="704" w:type="dxa"/>
          </w:tcPr>
          <w:p w14:paraId="3765B820" w14:textId="6E563D7C"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9</w:t>
            </w:r>
          </w:p>
        </w:tc>
        <w:tc>
          <w:tcPr>
            <w:tcW w:w="2693" w:type="dxa"/>
          </w:tcPr>
          <w:p w14:paraId="545578BE" w14:textId="7FCF2760" w:rsidR="00624F6F" w:rsidRPr="0019491F" w:rsidRDefault="00624F6F" w:rsidP="00624F6F">
            <w:pPr>
              <w:widowControl/>
              <w:spacing w:line="276" w:lineRule="auto"/>
              <w:ind w:firstLineChars="0" w:firstLine="0"/>
              <w:jc w:val="center"/>
              <w:rPr>
                <w:rFonts w:hAnsi="Arial" w:cs="Arial"/>
                <w:color w:val="000000" w:themeColor="text1"/>
                <w:kern w:val="24"/>
                <w:sz w:val="22"/>
              </w:rPr>
            </w:pPr>
            <w:r w:rsidRPr="0019491F">
              <w:rPr>
                <w:rFonts w:hAnsi="Arial" w:cs="Arial" w:hint="eastAsia"/>
                <w:color w:val="000000" w:themeColor="text1"/>
                <w:kern w:val="24"/>
                <w:sz w:val="22"/>
              </w:rPr>
              <w:t>会后归档及结算服务</w:t>
            </w:r>
          </w:p>
        </w:tc>
        <w:tc>
          <w:tcPr>
            <w:tcW w:w="851" w:type="dxa"/>
          </w:tcPr>
          <w:p w14:paraId="6E05F80C" w14:textId="0D0AEA5F"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7609DB31" w14:textId="62980FF5"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732AEA4C"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506B5D6B"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14:paraId="69BF0106" w14:textId="77777777" w:rsidTr="00624F6F">
        <w:trPr>
          <w:jc w:val="center"/>
        </w:trPr>
        <w:tc>
          <w:tcPr>
            <w:tcW w:w="704" w:type="dxa"/>
          </w:tcPr>
          <w:p w14:paraId="72DF897C" w14:textId="4540C378" w:rsidR="00624F6F" w:rsidRDefault="00624F6F" w:rsidP="00624F6F">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p>
        </w:tc>
        <w:tc>
          <w:tcPr>
            <w:tcW w:w="2693" w:type="dxa"/>
          </w:tcPr>
          <w:p w14:paraId="04AA5E26" w14:textId="6097A756" w:rsidR="00624F6F" w:rsidRPr="0019491F" w:rsidRDefault="00624F6F" w:rsidP="00624F6F">
            <w:pPr>
              <w:widowControl/>
              <w:spacing w:line="276" w:lineRule="auto"/>
              <w:ind w:firstLineChars="0" w:firstLine="0"/>
              <w:jc w:val="center"/>
              <w:rPr>
                <w:rFonts w:hAnsi="Arial" w:cs="Arial"/>
                <w:color w:val="000000" w:themeColor="text1"/>
                <w:kern w:val="24"/>
                <w:sz w:val="22"/>
              </w:rPr>
            </w:pPr>
            <w:r>
              <w:rPr>
                <w:rFonts w:hAnsi="Arial" w:cs="Arial" w:hint="eastAsia"/>
                <w:color w:val="000000" w:themeColor="text1"/>
                <w:kern w:val="24"/>
                <w:sz w:val="22"/>
              </w:rPr>
              <w:t>其他</w:t>
            </w:r>
          </w:p>
        </w:tc>
        <w:tc>
          <w:tcPr>
            <w:tcW w:w="851" w:type="dxa"/>
          </w:tcPr>
          <w:p w14:paraId="16EA9446" w14:textId="76CDF608"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hAnsi="宋体" w:cs="宋体" w:hint="eastAsia"/>
                <w:kern w:val="0"/>
                <w:sz w:val="24"/>
              </w:rPr>
              <w:t>项</w:t>
            </w:r>
          </w:p>
        </w:tc>
        <w:tc>
          <w:tcPr>
            <w:tcW w:w="1276" w:type="dxa"/>
          </w:tcPr>
          <w:p w14:paraId="40470B4F" w14:textId="7EA903C4" w:rsidR="00624F6F" w:rsidRDefault="00624F6F" w:rsidP="00624F6F">
            <w:pPr>
              <w:widowControl/>
              <w:spacing w:line="276" w:lineRule="auto"/>
              <w:ind w:firstLineChars="0" w:firstLine="0"/>
              <w:jc w:val="center"/>
              <w:rPr>
                <w:rFonts w:hAnsi="Arial" w:cs="Arial"/>
                <w:b/>
                <w:bCs/>
                <w:color w:val="000000" w:themeColor="text1"/>
                <w:kern w:val="24"/>
                <w:sz w:val="22"/>
              </w:rPr>
            </w:pPr>
            <w:r>
              <w:rPr>
                <w:rFonts w:cs="Calibri"/>
                <w:color w:val="000000" w:themeColor="text1"/>
                <w:kern w:val="24"/>
                <w:sz w:val="22"/>
              </w:rPr>
              <w:t>1</w:t>
            </w:r>
          </w:p>
        </w:tc>
        <w:tc>
          <w:tcPr>
            <w:tcW w:w="1275" w:type="dxa"/>
          </w:tcPr>
          <w:p w14:paraId="0089B34A"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c>
          <w:tcPr>
            <w:tcW w:w="1276" w:type="dxa"/>
          </w:tcPr>
          <w:p w14:paraId="3DAFCC57" w14:textId="77777777" w:rsidR="00624F6F" w:rsidRDefault="00624F6F" w:rsidP="00624F6F">
            <w:pPr>
              <w:widowControl/>
              <w:spacing w:line="276" w:lineRule="auto"/>
              <w:ind w:firstLineChars="0" w:firstLine="0"/>
              <w:jc w:val="center"/>
              <w:rPr>
                <w:rFonts w:hAnsi="Arial" w:cs="Arial"/>
                <w:b/>
                <w:bCs/>
                <w:color w:val="000000" w:themeColor="text1"/>
                <w:kern w:val="24"/>
                <w:sz w:val="22"/>
              </w:rPr>
            </w:pPr>
          </w:p>
        </w:tc>
      </w:tr>
      <w:tr w:rsidR="00624F6F" w:rsidRPr="00305B58" w14:paraId="751A13DD" w14:textId="77777777" w:rsidTr="00305B58">
        <w:trPr>
          <w:trHeight w:val="537"/>
          <w:jc w:val="center"/>
        </w:trPr>
        <w:tc>
          <w:tcPr>
            <w:tcW w:w="8075" w:type="dxa"/>
            <w:gridSpan w:val="6"/>
            <w:vAlign w:val="center"/>
          </w:tcPr>
          <w:p w14:paraId="18309FCF" w14:textId="0FA75A83" w:rsidR="00624F6F" w:rsidRPr="00305B58" w:rsidRDefault="00624F6F" w:rsidP="00305B58">
            <w:pPr>
              <w:widowControl/>
              <w:spacing w:line="276" w:lineRule="auto"/>
              <w:ind w:firstLineChars="0" w:firstLine="0"/>
              <w:jc w:val="left"/>
              <w:rPr>
                <w:rFonts w:hAnsi="Arial" w:cs="Arial"/>
                <w:bCs/>
                <w:color w:val="000000" w:themeColor="text1"/>
                <w:kern w:val="24"/>
                <w:sz w:val="22"/>
              </w:rPr>
            </w:pPr>
            <w:r w:rsidRPr="00305B58">
              <w:rPr>
                <w:rFonts w:hAnsi="Arial" w:cs="Arial" w:hint="eastAsia"/>
                <w:bCs/>
                <w:color w:val="000000" w:themeColor="text1"/>
                <w:kern w:val="24"/>
                <w:sz w:val="22"/>
              </w:rPr>
              <w:t>总价</w:t>
            </w:r>
            <w:r w:rsidRPr="00305B58">
              <w:rPr>
                <w:rFonts w:hAnsi="Arial" w:cs="Arial" w:hint="eastAsia"/>
                <w:bCs/>
                <w:color w:val="000000" w:themeColor="text1"/>
                <w:kern w:val="24"/>
                <w:sz w:val="22"/>
              </w:rPr>
              <w:t>:</w:t>
            </w:r>
            <w:r w:rsidR="00305B58" w:rsidRPr="00305B58">
              <w:rPr>
                <w:rFonts w:hAnsi="Arial" w:cs="Arial" w:hint="eastAsia"/>
                <w:bCs/>
                <w:color w:val="000000" w:themeColor="text1"/>
                <w:kern w:val="24"/>
                <w:sz w:val="22"/>
              </w:rPr>
              <w:t>（</w:t>
            </w:r>
            <w:r w:rsidRPr="00305B58">
              <w:rPr>
                <w:rFonts w:hAnsi="Arial" w:cs="Arial" w:hint="eastAsia"/>
                <w:bCs/>
                <w:color w:val="000000" w:themeColor="text1"/>
                <w:kern w:val="24"/>
                <w:sz w:val="22"/>
              </w:rPr>
              <w:t>大写金额</w:t>
            </w:r>
            <w:r w:rsidR="00305B58" w:rsidRPr="00305B58">
              <w:rPr>
                <w:rFonts w:hAnsi="Arial" w:cs="Arial" w:hint="eastAsia"/>
                <w:bCs/>
                <w:color w:val="000000" w:themeColor="text1"/>
                <w:kern w:val="24"/>
                <w:sz w:val="22"/>
              </w:rPr>
              <w:t>）</w:t>
            </w:r>
            <w:r w:rsidR="00305B58" w:rsidRPr="00305B58">
              <w:rPr>
                <w:rFonts w:hAnsi="Arial" w:cs="Arial" w:hint="eastAsia"/>
                <w:bCs/>
                <w:color w:val="000000" w:themeColor="text1"/>
                <w:kern w:val="24"/>
                <w:sz w:val="22"/>
              </w:rPr>
              <w:t xml:space="preserve"> </w:t>
            </w:r>
            <w:r w:rsidR="00305B58" w:rsidRPr="00305B58">
              <w:rPr>
                <w:rFonts w:hAnsi="Arial" w:cs="Arial"/>
                <w:bCs/>
                <w:color w:val="000000" w:themeColor="text1"/>
                <w:kern w:val="24"/>
                <w:sz w:val="22"/>
              </w:rPr>
              <w:t xml:space="preserve">                    </w:t>
            </w:r>
            <w:r w:rsidR="00305B58" w:rsidRPr="00305B58">
              <w:rPr>
                <w:rFonts w:hAnsi="Arial" w:cs="Arial" w:hint="eastAsia"/>
                <w:bCs/>
                <w:color w:val="000000" w:themeColor="text1"/>
                <w:kern w:val="24"/>
                <w:sz w:val="22"/>
              </w:rPr>
              <w:t>（小写金额）</w:t>
            </w:r>
          </w:p>
        </w:tc>
      </w:tr>
    </w:tbl>
    <w:p w14:paraId="55041E34" w14:textId="77777777" w:rsidR="00442DDD" w:rsidRPr="009019EB" w:rsidRDefault="001828EB" w:rsidP="00EF0B7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F41F9D" w:rsidRPr="009019EB" w:rsidRDefault="0030051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snapToGrid w:val="0"/>
                <w:color w:val="000000"/>
                <w:kern w:val="0"/>
                <w:sz w:val="24"/>
                <w:szCs w:val="24"/>
              </w:rPr>
              <w:t>20</w:t>
            </w:r>
          </w:p>
        </w:tc>
        <w:tc>
          <w:tcPr>
            <w:tcW w:w="1559" w:type="dxa"/>
            <w:vMerge w:val="restart"/>
            <w:vAlign w:val="center"/>
          </w:tcPr>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4C5818D" w14:textId="7F70BC92"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0139A1" w:rsidRPr="009019EB" w14:paraId="0A3A2C49" w14:textId="77777777" w:rsidTr="004830BE">
        <w:trPr>
          <w:trHeight w:val="331"/>
        </w:trPr>
        <w:tc>
          <w:tcPr>
            <w:tcW w:w="836" w:type="dxa"/>
            <w:vMerge/>
            <w:vAlign w:val="center"/>
          </w:tcPr>
          <w:p w14:paraId="1856233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Pr="009019EB">
              <w:rPr>
                <w:rFonts w:ascii="宋体" w:hAnsi="宋体"/>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5786BC09" w14:textId="515B6285"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153D8C">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B63688"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承担类似项目业绩，每个业绩2分，最多1</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553C3A0E"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EF0B7B">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6A3E9E17"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E20DE8">
              <w:rPr>
                <w:rFonts w:ascii="宋体" w:hAnsi="宋体"/>
                <w:snapToGrid w:val="0"/>
                <w:color w:val="000000"/>
                <w:kern w:val="0"/>
                <w:sz w:val="24"/>
                <w:szCs w:val="24"/>
              </w:rPr>
              <w:t>6</w:t>
            </w:r>
            <w:r w:rsidR="005E7A85" w:rsidRPr="009019EB">
              <w:rPr>
                <w:rFonts w:ascii="宋体" w:hAnsi="宋体"/>
                <w:snapToGrid w:val="0"/>
                <w:color w:val="000000"/>
                <w:kern w:val="0"/>
                <w:sz w:val="24"/>
                <w:szCs w:val="24"/>
              </w:rPr>
              <w:t>0</w:t>
            </w:r>
          </w:p>
        </w:tc>
        <w:tc>
          <w:tcPr>
            <w:tcW w:w="1559" w:type="dxa"/>
            <w:vAlign w:val="center"/>
          </w:tcPr>
          <w:p w14:paraId="37ACE154" w14:textId="657343B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C356DF" w:rsidRPr="009019EB">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w:t>
            </w:r>
          </w:p>
        </w:tc>
        <w:tc>
          <w:tcPr>
            <w:tcW w:w="5387" w:type="dxa"/>
            <w:vAlign w:val="center"/>
          </w:tcPr>
          <w:p w14:paraId="7E4D269C" w14:textId="7EF9F9E1"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43660">
              <w:rPr>
                <w:rFonts w:ascii="宋体" w:hAnsi="宋体" w:cs="微软雅黑"/>
                <w:snapToGrid w:val="0"/>
                <w:color w:val="000000"/>
                <w:kern w:val="0"/>
                <w:sz w:val="24"/>
                <w:szCs w:val="24"/>
              </w:rPr>
              <w:t>20</w:t>
            </w:r>
            <w:r w:rsidR="00A82584"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（需附偏离表</w:t>
            </w:r>
            <w:r w:rsidR="007E4B0C">
              <w:rPr>
                <w:rFonts w:ascii="宋体" w:hAnsi="宋体" w:cs="微软雅黑" w:hint="eastAsia"/>
                <w:snapToGrid w:val="0"/>
                <w:color w:val="000000"/>
                <w:kern w:val="0"/>
                <w:sz w:val="24"/>
                <w:szCs w:val="24"/>
              </w:rPr>
              <w:t>或承诺函</w:t>
            </w:r>
            <w:r w:rsidR="001A7F26" w:rsidRPr="009019EB">
              <w:rPr>
                <w:rFonts w:ascii="宋体" w:hAnsi="宋体" w:cs="微软雅黑" w:hint="eastAsia"/>
                <w:snapToGrid w:val="0"/>
                <w:color w:val="000000"/>
                <w:kern w:val="0"/>
                <w:sz w:val="24"/>
                <w:szCs w:val="24"/>
              </w:rPr>
              <w:t>）</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2F490D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bookmarkStart w:id="1" w:name="_Hlk501315984"/>
            <w:r w:rsidRPr="009019EB">
              <w:rPr>
                <w:rFonts w:ascii="宋体" w:hAnsi="宋体" w:cs="微软雅黑" w:hint="eastAsia"/>
                <w:snapToGrid w:val="0"/>
                <w:color w:val="000000"/>
                <w:kern w:val="0"/>
                <w:sz w:val="24"/>
                <w:szCs w:val="24"/>
              </w:rPr>
              <w:t>工作</w:t>
            </w:r>
            <w:r w:rsidR="00D055C4" w:rsidRPr="009019EB">
              <w:rPr>
                <w:rFonts w:ascii="宋体" w:hAnsi="宋体" w:cs="微软雅黑" w:hint="eastAsia"/>
                <w:snapToGrid w:val="0"/>
                <w:color w:val="000000"/>
                <w:kern w:val="0"/>
                <w:sz w:val="24"/>
                <w:szCs w:val="24"/>
              </w:rPr>
              <w:t>流程及其</w:t>
            </w:r>
            <w:r w:rsidRPr="009019EB">
              <w:rPr>
                <w:rFonts w:ascii="宋体" w:hAnsi="宋体" w:cs="微软雅黑" w:hint="eastAsia"/>
                <w:snapToGrid w:val="0"/>
                <w:color w:val="000000"/>
                <w:kern w:val="0"/>
                <w:sz w:val="24"/>
                <w:szCs w:val="24"/>
              </w:rPr>
              <w:t>进度安排</w:t>
            </w:r>
            <w:bookmarkEnd w:id="1"/>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F3042E" w14:textId="3687E917"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36F450E6" w14:textId="6038E76A"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5D04884" w14:textId="20D5F111"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6052E6A5" w14:textId="15936320"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680E0171"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3278CC97" w14:textId="2962D431"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F4D9438" w14:textId="0F96208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0593088E" w14:textId="7AEC5604"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2DDEBA4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对项目</w:t>
            </w:r>
            <w:r w:rsidR="00F23E54" w:rsidRPr="009019EB">
              <w:rPr>
                <w:rFonts w:ascii="宋体" w:hAnsi="宋体" w:cs="微软雅黑" w:hint="eastAsia"/>
                <w:snapToGrid w:val="0"/>
                <w:color w:val="000000"/>
                <w:kern w:val="0"/>
                <w:sz w:val="24"/>
                <w:szCs w:val="24"/>
              </w:rPr>
              <w:t>应急保障方案</w:t>
            </w:r>
            <w:r w:rsidR="00D055C4" w:rsidRPr="009019EB">
              <w:rPr>
                <w:rFonts w:ascii="宋体" w:hAnsi="宋体" w:cs="微软雅黑" w:hint="eastAsia"/>
                <w:snapToGrid w:val="0"/>
                <w:color w:val="000000"/>
                <w:kern w:val="0"/>
                <w:sz w:val="24"/>
                <w:szCs w:val="24"/>
              </w:rPr>
              <w:t>及服务方案</w:t>
            </w:r>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396211A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22DC536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6BDEE409"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153D8C">
        <w:rPr>
          <w:rFonts w:ascii="宋体" w:hAnsi="宋体" w:cs="宋体"/>
          <w:kern w:val="0"/>
          <w:sz w:val="24"/>
          <w:szCs w:val="24"/>
        </w:rPr>
        <w:t>5</w:t>
      </w:r>
      <w:r w:rsidRPr="009019EB">
        <w:rPr>
          <w:rFonts w:ascii="宋体" w:hAnsi="宋体" w:cs="宋体" w:hint="eastAsia"/>
          <w:kern w:val="0"/>
          <w:sz w:val="24"/>
          <w:szCs w:val="24"/>
        </w:rPr>
        <w:t>年</w:t>
      </w:r>
      <w:r w:rsidR="00153D8C">
        <w:rPr>
          <w:rFonts w:ascii="宋体" w:hAnsi="宋体" w:cs="宋体"/>
          <w:kern w:val="0"/>
          <w:sz w:val="24"/>
          <w:szCs w:val="24"/>
        </w:rPr>
        <w:t>2</w:t>
      </w:r>
      <w:r w:rsidRPr="009019EB">
        <w:rPr>
          <w:rFonts w:ascii="宋体" w:hAnsi="宋体" w:cs="宋体" w:hint="eastAsia"/>
          <w:kern w:val="0"/>
          <w:sz w:val="24"/>
          <w:szCs w:val="24"/>
        </w:rPr>
        <w:t>月</w:t>
      </w:r>
      <w:r w:rsidR="00F16CA0" w:rsidRPr="009019EB">
        <w:rPr>
          <w:rFonts w:ascii="宋体" w:hAnsi="宋体" w:cs="宋体"/>
          <w:kern w:val="0"/>
          <w:sz w:val="24"/>
          <w:szCs w:val="24"/>
        </w:rPr>
        <w:t>2</w:t>
      </w:r>
      <w:r w:rsidR="00E2568E">
        <w:rPr>
          <w:rFonts w:ascii="宋体" w:hAnsi="宋体" w:cs="宋体"/>
          <w:kern w:val="0"/>
          <w:sz w:val="24"/>
          <w:szCs w:val="24"/>
        </w:rPr>
        <w:t>1</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6D4D87C9"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153D8C">
        <w:rPr>
          <w:rFonts w:ascii="宋体" w:hAnsi="宋体" w:cs="宋体"/>
          <w:kern w:val="0"/>
          <w:sz w:val="24"/>
          <w:szCs w:val="24"/>
        </w:rPr>
        <w:t>5</w:t>
      </w:r>
      <w:r w:rsidRPr="009019EB">
        <w:rPr>
          <w:rFonts w:ascii="宋体" w:hAnsi="宋体" w:cs="宋体" w:hint="eastAsia"/>
          <w:kern w:val="0"/>
          <w:sz w:val="24"/>
          <w:szCs w:val="24"/>
        </w:rPr>
        <w:t>年</w:t>
      </w:r>
      <w:r w:rsidR="00153D8C">
        <w:rPr>
          <w:rFonts w:ascii="宋体" w:hAnsi="宋体" w:cs="宋体"/>
          <w:kern w:val="0"/>
          <w:sz w:val="24"/>
          <w:szCs w:val="24"/>
        </w:rPr>
        <w:t>2</w:t>
      </w:r>
      <w:r w:rsidRPr="009019EB">
        <w:rPr>
          <w:rFonts w:ascii="宋体" w:hAnsi="宋体" w:cs="宋体" w:hint="eastAsia"/>
          <w:kern w:val="0"/>
          <w:sz w:val="24"/>
          <w:szCs w:val="24"/>
        </w:rPr>
        <w:t>月</w:t>
      </w:r>
      <w:r w:rsidR="008F23B4" w:rsidRPr="009019EB">
        <w:rPr>
          <w:rFonts w:ascii="宋体" w:hAnsi="宋体" w:cs="宋体"/>
          <w:kern w:val="0"/>
          <w:sz w:val="24"/>
          <w:szCs w:val="24"/>
        </w:rPr>
        <w:t>2</w:t>
      </w:r>
      <w:r w:rsidR="00E2568E">
        <w:rPr>
          <w:rFonts w:ascii="宋体" w:hAnsi="宋体" w:cs="宋体"/>
          <w:kern w:val="0"/>
          <w:sz w:val="24"/>
          <w:szCs w:val="24"/>
        </w:rPr>
        <w:t>1</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43BB8B94"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w:t>
      </w:r>
      <w:r w:rsidR="00D148E9">
        <w:rPr>
          <w:rFonts w:ascii="宋体" w:hAnsi="宋体" w:cs="宋体"/>
          <w:kern w:val="0"/>
          <w:sz w:val="24"/>
          <w:szCs w:val="24"/>
        </w:rPr>
        <w:t>002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41641" w14:textId="77777777" w:rsidR="00F61EE8" w:rsidRDefault="00F61EE8">
      <w:pPr>
        <w:ind w:firstLine="420"/>
      </w:pPr>
      <w:r>
        <w:separator/>
      </w:r>
    </w:p>
  </w:endnote>
  <w:endnote w:type="continuationSeparator" w:id="0">
    <w:p w14:paraId="5FE8FED3" w14:textId="77777777" w:rsidR="00F61EE8" w:rsidRDefault="00F61EE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8972" w14:textId="77777777" w:rsidR="00F61EE8" w:rsidRDefault="00F61EE8">
      <w:pPr>
        <w:ind w:firstLine="420"/>
      </w:pPr>
      <w:r>
        <w:separator/>
      </w:r>
    </w:p>
  </w:footnote>
  <w:footnote w:type="continuationSeparator" w:id="0">
    <w:p w14:paraId="62C6647D" w14:textId="77777777" w:rsidR="00F61EE8" w:rsidRDefault="00F61EE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D2DA4"/>
    <w:rsid w:val="000E68C4"/>
    <w:rsid w:val="000E6CEF"/>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3D8C"/>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491F"/>
    <w:rsid w:val="001A0D71"/>
    <w:rsid w:val="001A0D7A"/>
    <w:rsid w:val="001A1558"/>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3DA1"/>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755D5"/>
    <w:rsid w:val="00282E22"/>
    <w:rsid w:val="002846E2"/>
    <w:rsid w:val="0028648B"/>
    <w:rsid w:val="002871F8"/>
    <w:rsid w:val="00292F03"/>
    <w:rsid w:val="00294BFC"/>
    <w:rsid w:val="00295979"/>
    <w:rsid w:val="00296BB6"/>
    <w:rsid w:val="002A0D69"/>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3CA4"/>
    <w:rsid w:val="002E67AA"/>
    <w:rsid w:val="002F1E22"/>
    <w:rsid w:val="002F51E7"/>
    <w:rsid w:val="002F721A"/>
    <w:rsid w:val="00300510"/>
    <w:rsid w:val="003020A4"/>
    <w:rsid w:val="0030340E"/>
    <w:rsid w:val="00305B58"/>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4DE7"/>
    <w:rsid w:val="003B6F80"/>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9390F"/>
    <w:rsid w:val="005A02AA"/>
    <w:rsid w:val="005A04AA"/>
    <w:rsid w:val="005A468B"/>
    <w:rsid w:val="005A7744"/>
    <w:rsid w:val="005A77FD"/>
    <w:rsid w:val="005B082F"/>
    <w:rsid w:val="005B3B31"/>
    <w:rsid w:val="005B3BA4"/>
    <w:rsid w:val="005B4FAB"/>
    <w:rsid w:val="005B722B"/>
    <w:rsid w:val="005C02EC"/>
    <w:rsid w:val="005C2243"/>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056DA"/>
    <w:rsid w:val="00611557"/>
    <w:rsid w:val="00613A75"/>
    <w:rsid w:val="00614FD9"/>
    <w:rsid w:val="00620B59"/>
    <w:rsid w:val="00620E72"/>
    <w:rsid w:val="00621728"/>
    <w:rsid w:val="006219E8"/>
    <w:rsid w:val="00624F6F"/>
    <w:rsid w:val="00626BF2"/>
    <w:rsid w:val="006321D9"/>
    <w:rsid w:val="00632FD2"/>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2478"/>
    <w:rsid w:val="00705254"/>
    <w:rsid w:val="00710B8C"/>
    <w:rsid w:val="007114BA"/>
    <w:rsid w:val="007119E7"/>
    <w:rsid w:val="00712506"/>
    <w:rsid w:val="00714C69"/>
    <w:rsid w:val="007173EA"/>
    <w:rsid w:val="00722B0D"/>
    <w:rsid w:val="0072497E"/>
    <w:rsid w:val="00725FF4"/>
    <w:rsid w:val="007264C1"/>
    <w:rsid w:val="007333E8"/>
    <w:rsid w:val="00734EA6"/>
    <w:rsid w:val="007417BA"/>
    <w:rsid w:val="00741ED4"/>
    <w:rsid w:val="00742757"/>
    <w:rsid w:val="00742BA2"/>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4B0C"/>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C3E5F"/>
    <w:rsid w:val="009D0507"/>
    <w:rsid w:val="009D086D"/>
    <w:rsid w:val="009D2189"/>
    <w:rsid w:val="009D4F7C"/>
    <w:rsid w:val="009E239E"/>
    <w:rsid w:val="009E5740"/>
    <w:rsid w:val="009E63EE"/>
    <w:rsid w:val="009E7397"/>
    <w:rsid w:val="009F1EDF"/>
    <w:rsid w:val="009F433D"/>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6F0F"/>
    <w:rsid w:val="00A5788C"/>
    <w:rsid w:val="00A6047F"/>
    <w:rsid w:val="00A614B4"/>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4C3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10401"/>
    <w:rsid w:val="00C11000"/>
    <w:rsid w:val="00C167A4"/>
    <w:rsid w:val="00C16A54"/>
    <w:rsid w:val="00C171C2"/>
    <w:rsid w:val="00C2139A"/>
    <w:rsid w:val="00C21A38"/>
    <w:rsid w:val="00C240A0"/>
    <w:rsid w:val="00C356DF"/>
    <w:rsid w:val="00C416A1"/>
    <w:rsid w:val="00C44523"/>
    <w:rsid w:val="00C45F08"/>
    <w:rsid w:val="00C53D61"/>
    <w:rsid w:val="00C57C16"/>
    <w:rsid w:val="00C616A8"/>
    <w:rsid w:val="00C719AE"/>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15A"/>
    <w:rsid w:val="00CF048F"/>
    <w:rsid w:val="00CF5ABF"/>
    <w:rsid w:val="00CF6695"/>
    <w:rsid w:val="00D055C4"/>
    <w:rsid w:val="00D05F92"/>
    <w:rsid w:val="00D113E8"/>
    <w:rsid w:val="00D148E9"/>
    <w:rsid w:val="00D14C4F"/>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0DE8"/>
    <w:rsid w:val="00E23277"/>
    <w:rsid w:val="00E23424"/>
    <w:rsid w:val="00E255E8"/>
    <w:rsid w:val="00E2568E"/>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8682E"/>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0B7B"/>
    <w:rsid w:val="00EF6085"/>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1EE8"/>
    <w:rsid w:val="00F66FE6"/>
    <w:rsid w:val="00F705E6"/>
    <w:rsid w:val="00F70BAD"/>
    <w:rsid w:val="00F70BB5"/>
    <w:rsid w:val="00F7290B"/>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920913667">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0E9C4-CFF4-49CB-B50D-5F4BBFA0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478</Words>
  <Characters>2727</Characters>
  <Application>Microsoft Office Word</Application>
  <DocSecurity>0</DocSecurity>
  <Lines>22</Lines>
  <Paragraphs>6</Paragraphs>
  <ScaleCrop>false</ScaleCrop>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23</cp:revision>
  <cp:lastPrinted>2023-03-31T06:58:00Z</cp:lastPrinted>
  <dcterms:created xsi:type="dcterms:W3CDTF">2024-01-17T08:41:00Z</dcterms:created>
  <dcterms:modified xsi:type="dcterms:W3CDTF">2025-02-12T08:04:00Z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