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85" w:rsidRPr="00C3020F" w:rsidRDefault="007E3033">
      <w:pPr>
        <w:jc w:val="left"/>
        <w:rPr>
          <w:rFonts w:ascii="宋体" w:eastAsia="宋体" w:hAnsi="宋体"/>
          <w:b/>
          <w:sz w:val="28"/>
          <w:szCs w:val="28"/>
        </w:rPr>
      </w:pPr>
      <w:r>
        <w:rPr>
          <w:rFonts w:ascii="宋体" w:eastAsia="宋体" w:hAnsi="宋体" w:hint="eastAsia"/>
          <w:b/>
          <w:sz w:val="28"/>
          <w:szCs w:val="28"/>
        </w:rPr>
        <w:t>北京大学人民医院</w:t>
      </w:r>
      <w:bookmarkStart w:id="0" w:name="_Hlk167918209"/>
      <w:r w:rsidR="006166F5">
        <w:rPr>
          <w:rFonts w:ascii="宋体" w:eastAsia="宋体" w:hAnsi="宋体" w:hint="eastAsia"/>
          <w:b/>
          <w:sz w:val="28"/>
          <w:szCs w:val="28"/>
        </w:rPr>
        <w:t>分子诊断中心</w:t>
      </w:r>
      <w:r w:rsidR="008A548F">
        <w:rPr>
          <w:rFonts w:ascii="宋体" w:eastAsia="宋体" w:hAnsi="宋体" w:hint="eastAsia"/>
          <w:b/>
          <w:sz w:val="28"/>
          <w:szCs w:val="28"/>
        </w:rPr>
        <w:t>试验台及家具</w:t>
      </w:r>
      <w:r w:rsidR="00C3020F" w:rsidRPr="00C3020F">
        <w:rPr>
          <w:rFonts w:ascii="宋体" w:eastAsia="宋体" w:hAnsi="宋体" w:hint="eastAsia"/>
          <w:b/>
          <w:sz w:val="28"/>
          <w:szCs w:val="28"/>
        </w:rPr>
        <w:t>采购项目</w:t>
      </w:r>
      <w:r>
        <w:rPr>
          <w:rFonts w:ascii="宋体" w:eastAsia="宋体" w:hAnsi="宋体" w:hint="eastAsia"/>
          <w:b/>
          <w:sz w:val="28"/>
          <w:szCs w:val="28"/>
        </w:rPr>
        <w:t>采购文件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一、采购公告</w:t>
      </w:r>
    </w:p>
    <w:p w:rsidR="008A548F" w:rsidRDefault="007E3033">
      <w:pPr>
        <w:ind w:firstLineChars="200" w:firstLine="420"/>
        <w:jc w:val="left"/>
        <w:rPr>
          <w:rFonts w:ascii="宋体" w:eastAsia="宋体" w:hAnsi="宋体"/>
          <w:szCs w:val="21"/>
        </w:rPr>
      </w:pPr>
      <w:r>
        <w:rPr>
          <w:rFonts w:ascii="宋体" w:eastAsia="宋体" w:hAnsi="宋体" w:hint="eastAsia"/>
          <w:szCs w:val="21"/>
        </w:rPr>
        <w:t>1、项目名称：</w:t>
      </w:r>
      <w:r w:rsidR="008A548F" w:rsidRPr="008A548F">
        <w:rPr>
          <w:rFonts w:ascii="宋体" w:eastAsia="宋体" w:hAnsi="宋体" w:hint="eastAsia"/>
          <w:szCs w:val="21"/>
        </w:rPr>
        <w:t>分子诊断中心试验台及家具采购项目</w:t>
      </w:r>
    </w:p>
    <w:p w:rsidR="00A62085"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8A548F">
        <w:rPr>
          <w:rFonts w:ascii="宋体" w:eastAsia="宋体" w:hAnsi="宋体" w:hint="eastAsia"/>
          <w:szCs w:val="21"/>
        </w:rPr>
        <w:t>我院通州院区分子诊断中心需采购一批试验台及家具，包括</w:t>
      </w:r>
      <w:r w:rsidR="008A548F" w:rsidRPr="008A548F">
        <w:rPr>
          <w:rFonts w:ascii="宋体" w:eastAsia="宋体" w:hAnsi="宋体" w:hint="eastAsia"/>
          <w:szCs w:val="21"/>
        </w:rPr>
        <w:t>实验台6</w:t>
      </w:r>
      <w:r w:rsidR="008A548F" w:rsidRPr="008A548F">
        <w:rPr>
          <w:rFonts w:ascii="宋体" w:eastAsia="宋体" w:hAnsi="宋体"/>
          <w:szCs w:val="21"/>
        </w:rPr>
        <w:t>3</w:t>
      </w:r>
      <w:r w:rsidR="008A548F" w:rsidRPr="008A548F">
        <w:rPr>
          <w:rFonts w:ascii="宋体" w:eastAsia="宋体" w:hAnsi="宋体" w:hint="eastAsia"/>
          <w:szCs w:val="21"/>
        </w:rPr>
        <w:t>延米、落地式紧急淋浴2套、桌式</w:t>
      </w:r>
      <w:proofErr w:type="gramStart"/>
      <w:r w:rsidR="008A548F" w:rsidRPr="008A548F">
        <w:rPr>
          <w:rFonts w:ascii="宋体" w:eastAsia="宋体" w:hAnsi="宋体" w:hint="eastAsia"/>
          <w:szCs w:val="21"/>
        </w:rPr>
        <w:t>洗眼器8套</w:t>
      </w:r>
      <w:proofErr w:type="gramEnd"/>
      <w:r w:rsidR="008A548F" w:rsidRPr="008A548F">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8A548F">
        <w:rPr>
          <w:rFonts w:ascii="宋体" w:eastAsia="宋体" w:hAnsi="宋体"/>
          <w:szCs w:val="21"/>
        </w:rPr>
        <w:t>17.6525</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A62085" w:rsidRDefault="007E3033">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、质保期：不少于3年</w:t>
      </w:r>
    </w:p>
    <w:p w:rsidR="00A62085" w:rsidRDefault="007E3033">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21</w:t>
      </w:r>
      <w:r>
        <w:rPr>
          <w:rFonts w:ascii="宋体" w:eastAsia="宋体" w:hAnsi="宋体"/>
          <w:szCs w:val="21"/>
        </w:rPr>
        <w:t>年</w:t>
      </w:r>
      <w:r w:rsidR="0050352C">
        <w:rPr>
          <w:rFonts w:ascii="宋体" w:eastAsia="宋体" w:hAnsi="宋体"/>
          <w:szCs w:val="21"/>
        </w:rPr>
        <w:t>11</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FD22C6" w:rsidRDefault="00FD22C6" w:rsidP="00D1378B">
      <w:pPr>
        <w:spacing w:line="240" w:lineRule="atLeas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技术需求（详见附件一）</w:t>
      </w:r>
    </w:p>
    <w:p w:rsidR="00D1378B" w:rsidRPr="00D1378B" w:rsidRDefault="00D1378B" w:rsidP="00D1378B">
      <w:pPr>
        <w:spacing w:line="240" w:lineRule="atLeast"/>
        <w:ind w:firstLineChars="200" w:firstLine="420"/>
        <w:rPr>
          <w:rFonts w:ascii="宋体" w:eastAsia="宋体" w:hAnsi="宋体" w:cs="宋体"/>
          <w:color w:val="000000"/>
          <w:kern w:val="0"/>
          <w:szCs w:val="21"/>
        </w:rPr>
      </w:pPr>
      <w:r w:rsidRPr="00D1378B">
        <w:rPr>
          <w:rFonts w:ascii="宋体" w:eastAsia="宋体" w:hAnsi="宋体" w:cs="宋体" w:hint="eastAsia"/>
          <w:color w:val="000000"/>
          <w:kern w:val="0"/>
          <w:szCs w:val="21"/>
        </w:rPr>
        <w:t>全钢结构柜体，12.7mm厚理化板台面，</w:t>
      </w:r>
      <w:proofErr w:type="gramStart"/>
      <w:r w:rsidRPr="00D1378B">
        <w:rPr>
          <w:rFonts w:ascii="宋体" w:eastAsia="宋体" w:hAnsi="宋体" w:cs="宋体" w:hint="eastAsia"/>
          <w:color w:val="000000"/>
          <w:kern w:val="0"/>
          <w:szCs w:val="21"/>
        </w:rPr>
        <w:t>加厚边至</w:t>
      </w:r>
      <w:proofErr w:type="gramEnd"/>
      <w:r w:rsidRPr="00D1378B">
        <w:rPr>
          <w:rFonts w:ascii="宋体" w:eastAsia="宋体" w:hAnsi="宋体" w:cs="宋体" w:hint="eastAsia"/>
          <w:color w:val="000000"/>
          <w:kern w:val="0"/>
          <w:szCs w:val="21"/>
        </w:rPr>
        <w:t>25.4mm，滑轨采用三节承重滑轨，门板采用阻尼铰链，配置一体槽拉手。台面采用12.7mm 厚优质实芯理化板，边沿加厚至25.4mm，上柜：柜内设有一块可调搁板。下柜为抽拉式垃圾桶柜，储物柜，水盆柜等有序组合在一起。上下柜由40*40*1.5 厚方管相连有可调的层板，上下柜及背板为1.0 厚优质冷轧钢板，金属表面采用静电粉末喷涂喷塑处理。（要锁,理化板台面，槽拉手，配5组电源）</w:t>
      </w:r>
    </w:p>
    <w:p w:rsidR="00D1378B" w:rsidRPr="00D1378B" w:rsidRDefault="00D1378B" w:rsidP="00D1378B">
      <w:pPr>
        <w:spacing w:line="240" w:lineRule="atLeast"/>
        <w:ind w:firstLineChars="200" w:firstLine="420"/>
        <w:rPr>
          <w:rFonts w:ascii="宋体" w:eastAsia="宋体" w:hAnsi="宋体" w:cs="宋体"/>
          <w:color w:val="000000"/>
          <w:kern w:val="0"/>
          <w:szCs w:val="21"/>
        </w:rPr>
      </w:pPr>
      <w:r w:rsidRPr="00D1378B">
        <w:rPr>
          <w:rFonts w:ascii="宋体" w:eastAsia="宋体" w:hAnsi="宋体" w:cs="宋体" w:hint="eastAsia"/>
          <w:color w:val="000000"/>
          <w:kern w:val="0"/>
          <w:szCs w:val="21"/>
        </w:rPr>
        <w:t>每套桌上至少配备2-4个（泰力118型插座10孔插座）水盆水龙头TOF或同等品牌</w:t>
      </w:r>
    </w:p>
    <w:p w:rsidR="00D1378B" w:rsidRPr="00D1378B" w:rsidRDefault="00D1378B" w:rsidP="00D1378B">
      <w:pPr>
        <w:spacing w:line="240" w:lineRule="atLeast"/>
        <w:ind w:firstLineChars="200" w:firstLine="420"/>
        <w:rPr>
          <w:rFonts w:ascii="宋体" w:eastAsia="宋体" w:hAnsi="宋体" w:cs="宋体"/>
          <w:color w:val="000000"/>
          <w:kern w:val="0"/>
          <w:szCs w:val="21"/>
        </w:rPr>
      </w:pPr>
      <w:r w:rsidRPr="00D1378B">
        <w:rPr>
          <w:rFonts w:ascii="宋体" w:eastAsia="宋体" w:hAnsi="宋体" w:cs="宋体" w:hint="eastAsia"/>
          <w:color w:val="000000"/>
          <w:kern w:val="0"/>
          <w:szCs w:val="21"/>
        </w:rPr>
        <w:t>紧急冲淋装置水流为80-180升/分，可连续使用15分钟以上；</w:t>
      </w:r>
    </w:p>
    <w:p w:rsidR="00D1378B" w:rsidRPr="00D1378B" w:rsidRDefault="00D1378B" w:rsidP="00D1378B">
      <w:pPr>
        <w:spacing w:line="240" w:lineRule="atLeast"/>
        <w:ind w:firstLineChars="200" w:firstLine="420"/>
        <w:rPr>
          <w:rFonts w:ascii="宋体" w:eastAsia="宋体" w:hAnsi="宋体" w:cs="宋体"/>
          <w:color w:val="000000"/>
          <w:kern w:val="0"/>
          <w:szCs w:val="21"/>
        </w:rPr>
      </w:pPr>
      <w:proofErr w:type="gramStart"/>
      <w:r w:rsidRPr="00D1378B">
        <w:rPr>
          <w:rFonts w:ascii="宋体" w:eastAsia="宋体" w:hAnsi="宋体" w:cs="宋体" w:hint="eastAsia"/>
          <w:color w:val="000000"/>
          <w:kern w:val="0"/>
          <w:szCs w:val="21"/>
        </w:rPr>
        <w:t>洗眼器可</w:t>
      </w:r>
      <w:proofErr w:type="gramEnd"/>
      <w:r w:rsidRPr="00D1378B">
        <w:rPr>
          <w:rFonts w:ascii="宋体" w:eastAsia="宋体" w:hAnsi="宋体" w:cs="宋体" w:hint="eastAsia"/>
          <w:color w:val="000000"/>
          <w:kern w:val="0"/>
          <w:szCs w:val="21"/>
        </w:rPr>
        <w:t>调节水流为9-16升/分，可连续使用15分钟以上；用G1寸管连接到饮用水管。最小水压4公斤。水量：</w:t>
      </w:r>
      <w:proofErr w:type="gramStart"/>
      <w:r w:rsidRPr="00D1378B">
        <w:rPr>
          <w:rFonts w:ascii="宋体" w:eastAsia="宋体" w:hAnsi="宋体" w:cs="宋体" w:hint="eastAsia"/>
          <w:color w:val="000000"/>
          <w:kern w:val="0"/>
          <w:szCs w:val="21"/>
        </w:rPr>
        <w:t>单洗眼</w:t>
      </w:r>
      <w:proofErr w:type="gramEnd"/>
      <w:r w:rsidRPr="00D1378B">
        <w:rPr>
          <w:rFonts w:ascii="宋体" w:eastAsia="宋体" w:hAnsi="宋体" w:cs="宋体" w:hint="eastAsia"/>
          <w:color w:val="000000"/>
          <w:kern w:val="0"/>
          <w:szCs w:val="21"/>
        </w:rPr>
        <w:t>器＞6升/分钟，</w:t>
      </w:r>
      <w:proofErr w:type="gramStart"/>
      <w:r w:rsidRPr="00D1378B">
        <w:rPr>
          <w:rFonts w:ascii="宋体" w:eastAsia="宋体" w:hAnsi="宋体" w:cs="宋体" w:hint="eastAsia"/>
          <w:color w:val="000000"/>
          <w:kern w:val="0"/>
          <w:szCs w:val="21"/>
        </w:rPr>
        <w:t>双洗眼</w:t>
      </w:r>
      <w:proofErr w:type="gramEnd"/>
      <w:r w:rsidRPr="00D1378B">
        <w:rPr>
          <w:rFonts w:ascii="宋体" w:eastAsia="宋体" w:hAnsi="宋体" w:cs="宋体" w:hint="eastAsia"/>
          <w:color w:val="000000"/>
          <w:kern w:val="0"/>
          <w:szCs w:val="21"/>
        </w:rPr>
        <w:t>器＞10升/分钟。</w:t>
      </w:r>
    </w:p>
    <w:p w:rsidR="00D1378B" w:rsidRPr="00D1378B" w:rsidRDefault="00D1378B" w:rsidP="00D1378B">
      <w:pPr>
        <w:spacing w:line="240" w:lineRule="atLeast"/>
        <w:ind w:firstLineChars="200" w:firstLine="420"/>
        <w:rPr>
          <w:rFonts w:ascii="宋体" w:eastAsia="宋体" w:hAnsi="宋体" w:cs="宋体"/>
          <w:color w:val="000000"/>
          <w:kern w:val="0"/>
          <w:szCs w:val="21"/>
        </w:rPr>
      </w:pPr>
      <w:r w:rsidRPr="00D1378B">
        <w:rPr>
          <w:rFonts w:ascii="宋体" w:eastAsia="宋体" w:hAnsi="宋体" w:cs="宋体" w:hint="eastAsia"/>
          <w:color w:val="000000"/>
          <w:kern w:val="0"/>
          <w:szCs w:val="21"/>
        </w:rPr>
        <w:t>主要材料选用无毒不锈钢304，无毒、无害、耐酸碱，不易生锈。</w:t>
      </w:r>
    </w:p>
    <w:p w:rsidR="00A62085" w:rsidRPr="00D1378B" w:rsidRDefault="00D1378B" w:rsidP="00D1378B">
      <w:pPr>
        <w:widowControl/>
        <w:spacing w:line="240" w:lineRule="atLeast"/>
        <w:ind w:firstLineChars="200" w:firstLine="420"/>
        <w:jc w:val="left"/>
        <w:rPr>
          <w:rFonts w:ascii="宋体" w:eastAsia="宋体" w:hAnsi="宋体" w:cs="宋体"/>
          <w:color w:val="000000"/>
          <w:kern w:val="0"/>
          <w:szCs w:val="21"/>
        </w:rPr>
      </w:pPr>
      <w:r w:rsidRPr="00D1378B">
        <w:rPr>
          <w:rFonts w:ascii="宋体" w:eastAsia="宋体" w:hAnsi="宋体" w:cs="宋体" w:hint="eastAsia"/>
          <w:color w:val="000000"/>
          <w:kern w:val="0"/>
          <w:szCs w:val="21"/>
        </w:rPr>
        <w:t>产品表面耐酸耐腐蚀.管子采用1寸饮用水管，连接件采用全铜制造，内壁防</w:t>
      </w:r>
      <w:r>
        <w:rPr>
          <w:rFonts w:ascii="宋体" w:eastAsia="宋体" w:hAnsi="宋体" w:cs="宋体" w:hint="eastAsia"/>
          <w:color w:val="000000"/>
          <w:kern w:val="0"/>
          <w:szCs w:val="21"/>
        </w:rPr>
        <w:t>。</w:t>
      </w:r>
    </w:p>
    <w:p w:rsidR="00A62085" w:rsidRDefault="00FD22C6">
      <w:pPr>
        <w:ind w:firstLineChars="200" w:firstLine="420"/>
        <w:jc w:val="left"/>
        <w:rPr>
          <w:rFonts w:ascii="宋体" w:eastAsia="宋体" w:hAnsi="宋体"/>
          <w:szCs w:val="21"/>
        </w:rPr>
      </w:pPr>
      <w:r>
        <w:rPr>
          <w:rFonts w:ascii="宋体" w:eastAsia="宋体" w:hAnsi="宋体"/>
          <w:szCs w:val="21"/>
        </w:rPr>
        <w:t>2</w:t>
      </w:r>
      <w:r w:rsidR="007E3033">
        <w:rPr>
          <w:rFonts w:ascii="宋体" w:eastAsia="宋体" w:hAnsi="宋体" w:hint="eastAsia"/>
          <w:szCs w:val="21"/>
        </w:rPr>
        <w:t>.产品验收及质保期限：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卖方应保证提供的产品是全新的、未使用过的，符合产品的国家标准和招标文件中规</w:t>
      </w:r>
      <w:r>
        <w:rPr>
          <w:rFonts w:ascii="宋体" w:eastAsia="宋体" w:hAnsi="宋体" w:hint="eastAsia"/>
          <w:szCs w:val="21"/>
        </w:rPr>
        <w:lastRenderedPageBreak/>
        <w:t>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w:t>
      </w:r>
      <w:r w:rsidR="00D1378B">
        <w:rPr>
          <w:rFonts w:ascii="宋体" w:eastAsia="宋体" w:hAnsi="宋体" w:hint="eastAsia"/>
          <w:szCs w:val="21"/>
        </w:rPr>
        <w:t>不少于</w:t>
      </w:r>
      <w:r w:rsidR="004A2E39">
        <w:rPr>
          <w:rFonts w:ascii="宋体" w:eastAsia="宋体" w:hAnsi="宋体" w:hint="eastAsia"/>
          <w:szCs w:val="21"/>
        </w:rPr>
        <w:t>3</w:t>
      </w:r>
      <w:r>
        <w:rPr>
          <w:rFonts w:ascii="宋体" w:eastAsia="宋体" w:hAnsi="宋体" w:hint="eastAsia"/>
          <w:szCs w:val="21"/>
        </w:rPr>
        <w:t>年，在产品质保期内，卖方应对由于产品、工艺、材料的缺陷造成的质量问题负责并免费更换或维修；由于产品缺陷给买方造成损失的卖方负全部责任并赔偿相应的损失。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FD22C6">
      <w:pPr>
        <w:ind w:firstLineChars="200" w:firstLine="420"/>
        <w:jc w:val="left"/>
        <w:rPr>
          <w:rFonts w:ascii="宋体" w:eastAsia="宋体" w:hAnsi="宋体"/>
          <w:szCs w:val="21"/>
        </w:rPr>
      </w:pPr>
      <w:r>
        <w:rPr>
          <w:rFonts w:ascii="宋体" w:eastAsia="宋体" w:hAnsi="宋体"/>
          <w:szCs w:val="21"/>
        </w:rPr>
        <w:t>3</w:t>
      </w:r>
      <w:r w:rsidR="007E3033">
        <w:rPr>
          <w:rFonts w:ascii="宋体" w:eastAsia="宋体" w:hAnsi="宋体" w:hint="eastAsia"/>
          <w:szCs w:val="21"/>
        </w:rPr>
        <w:t>.交货期限：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卖方应确保在工作日内送货，时间为上午8：00-11：00，下午13：00-16：00。</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102DEC" w:rsidRDefault="00FD22C6">
      <w:pPr>
        <w:ind w:firstLineChars="200" w:firstLine="420"/>
        <w:jc w:val="left"/>
        <w:rPr>
          <w:rFonts w:ascii="宋体" w:eastAsia="宋体" w:hAnsi="宋体"/>
          <w:szCs w:val="21"/>
        </w:rPr>
      </w:pPr>
      <w:r>
        <w:rPr>
          <w:rFonts w:ascii="宋体" w:eastAsia="宋体" w:hAnsi="宋体"/>
          <w:szCs w:val="21"/>
        </w:rPr>
        <w:t>4</w:t>
      </w:r>
      <w:r w:rsidR="007E3033">
        <w:rPr>
          <w:rFonts w:ascii="宋体" w:eastAsia="宋体" w:hAnsi="宋体" w:hint="eastAsia"/>
          <w:szCs w:val="21"/>
        </w:rPr>
        <w:t>.交货地点：北京大学人民医院</w:t>
      </w:r>
      <w:r w:rsidR="00102DEC">
        <w:rPr>
          <w:rFonts w:ascii="宋体" w:eastAsia="宋体" w:hAnsi="宋体" w:hint="eastAsia"/>
          <w:szCs w:val="21"/>
        </w:rPr>
        <w:t>通州</w:t>
      </w:r>
      <w:r w:rsidR="007E3033">
        <w:rPr>
          <w:rFonts w:ascii="宋体" w:eastAsia="宋体" w:hAnsi="宋体" w:hint="eastAsia"/>
          <w:szCs w:val="21"/>
        </w:rPr>
        <w:t>院区</w:t>
      </w:r>
    </w:p>
    <w:p w:rsidR="00A62085" w:rsidRDefault="00FD22C6">
      <w:pPr>
        <w:ind w:firstLineChars="200" w:firstLine="420"/>
        <w:jc w:val="left"/>
        <w:rPr>
          <w:rFonts w:ascii="宋体" w:eastAsia="宋体" w:hAnsi="宋体"/>
          <w:szCs w:val="21"/>
        </w:rPr>
      </w:pPr>
      <w:r>
        <w:rPr>
          <w:rFonts w:ascii="宋体" w:eastAsia="宋体" w:hAnsi="宋体"/>
          <w:szCs w:val="21"/>
        </w:rPr>
        <w:t>5</w:t>
      </w:r>
      <w:r w:rsidR="007E3033">
        <w:rPr>
          <w:rFonts w:ascii="宋体" w:eastAsia="宋体" w:hAnsi="宋体" w:hint="eastAsia"/>
          <w:szCs w:val="21"/>
        </w:rPr>
        <w:t>.交货方式和风险责任及费用负担：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卖方送货。由卖方将产品运送到约定交货地点并安装到位，交货前发生的一切风险和费用（包括货到交货地点的卸车费用、在制作安装、搬运过程中发生的一切设备损坏及人身伤亡事故）由卖方承担。</w:t>
      </w:r>
    </w:p>
    <w:p w:rsidR="00A62085" w:rsidRDefault="00FD22C6">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w:t>
      </w:r>
      <w:r w:rsidR="00996FDF">
        <w:rPr>
          <w:rFonts w:ascii="宋体" w:eastAsia="宋体" w:hAnsi="宋体" w:hint="eastAsia"/>
          <w:szCs w:val="21"/>
        </w:rPr>
        <w:t>数量以</w:t>
      </w:r>
      <w:r>
        <w:rPr>
          <w:rFonts w:ascii="宋体" w:eastAsia="宋体" w:hAnsi="宋体" w:hint="eastAsia"/>
          <w:szCs w:val="21"/>
        </w:rPr>
        <w:t>实际完成量为准。</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021</w:t>
      </w:r>
      <w:r>
        <w:rPr>
          <w:rFonts w:ascii="宋体" w:eastAsia="宋体" w:hAnsi="宋体" w:hint="eastAsia"/>
          <w:szCs w:val="21"/>
        </w:rPr>
        <w:t>年</w:t>
      </w:r>
      <w:r w:rsidR="003441B5">
        <w:rPr>
          <w:rFonts w:ascii="宋体" w:eastAsia="宋体" w:hAnsi="宋体"/>
          <w:szCs w:val="21"/>
        </w:rPr>
        <w:t>11</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rsidTr="00861AD0">
        <w:trPr>
          <w:trHeight w:val="335"/>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064290" w:rsidRP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5000" w:type="pct"/>
        <w:jc w:val="center"/>
        <w:tblLook w:val="0000" w:firstRow="0" w:lastRow="0" w:firstColumn="0" w:lastColumn="0" w:noHBand="0" w:noVBand="0"/>
      </w:tblPr>
      <w:tblGrid>
        <w:gridCol w:w="1696"/>
        <w:gridCol w:w="2290"/>
        <w:gridCol w:w="959"/>
        <w:gridCol w:w="798"/>
        <w:gridCol w:w="1118"/>
        <w:gridCol w:w="1435"/>
      </w:tblGrid>
      <w:tr w:rsidR="00064290" w:rsidRPr="00E5130D" w:rsidTr="00EC70B0">
        <w:trPr>
          <w:trHeight w:val="395"/>
          <w:jc w:val="center"/>
        </w:trPr>
        <w:tc>
          <w:tcPr>
            <w:tcW w:w="1022"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rPr>
                <w:rFonts w:ascii="宋体" w:eastAsia="宋体" w:hAnsi="宋体"/>
                <w:szCs w:val="21"/>
              </w:rPr>
              <w:lastRenderedPageBreak/>
              <w:t>产品名称</w:t>
            </w:r>
          </w:p>
        </w:tc>
        <w:tc>
          <w:tcPr>
            <w:tcW w:w="1380"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4B75F6" w:rsidP="00064290">
            <w:pPr>
              <w:ind w:firstLineChars="200" w:firstLine="420"/>
              <w:jc w:val="center"/>
              <w:rPr>
                <w:rFonts w:ascii="宋体" w:eastAsia="宋体" w:hAnsi="宋体"/>
                <w:szCs w:val="21"/>
              </w:rPr>
            </w:pPr>
            <w:r>
              <w:rPr>
                <w:rFonts w:hint="eastAsia"/>
              </w:rPr>
              <w:t>品牌、</w:t>
            </w:r>
            <w:r w:rsidR="00064290" w:rsidRPr="00E5130D">
              <w:t>规格型号</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单位</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数量</w:t>
            </w:r>
          </w:p>
        </w:tc>
        <w:tc>
          <w:tcPr>
            <w:tcW w:w="67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Pr>
                <w:rFonts w:hint="eastAsia"/>
              </w:rPr>
              <w:t>单价</w:t>
            </w:r>
          </w:p>
        </w:tc>
        <w:tc>
          <w:tcPr>
            <w:tcW w:w="865" w:type="pct"/>
            <w:tcBorders>
              <w:top w:val="single" w:sz="4" w:space="0" w:color="000000"/>
              <w:left w:val="single" w:sz="4" w:space="0" w:color="000000"/>
              <w:bottom w:val="single" w:sz="4" w:space="0" w:color="000000"/>
              <w:right w:val="single" w:sz="4" w:space="0" w:color="000000"/>
            </w:tcBorders>
            <w:vAlign w:val="center"/>
          </w:tcPr>
          <w:p w:rsidR="00064290" w:rsidRDefault="00064290" w:rsidP="00064290">
            <w:pPr>
              <w:jc w:val="center"/>
            </w:pPr>
            <w:r>
              <w:rPr>
                <w:rFonts w:hint="eastAsia"/>
              </w:rPr>
              <w:t>合计</w:t>
            </w:r>
          </w:p>
        </w:tc>
      </w:tr>
      <w:tr w:rsidR="00064290" w:rsidRPr="00E5130D" w:rsidTr="00861AD0">
        <w:trPr>
          <w:trHeight w:val="294"/>
          <w:jc w:val="center"/>
        </w:trPr>
        <w:tc>
          <w:tcPr>
            <w:tcW w:w="1022"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CB0272" w:rsidP="00064290">
            <w:pPr>
              <w:jc w:val="center"/>
              <w:rPr>
                <w:rFonts w:ascii="宋体" w:eastAsia="宋体" w:hAnsi="宋体"/>
                <w:szCs w:val="21"/>
              </w:rPr>
            </w:pPr>
            <w:r>
              <w:rPr>
                <w:rFonts w:ascii="宋体" w:eastAsia="宋体" w:hAnsi="宋体" w:hint="eastAsia"/>
                <w:szCs w:val="21"/>
              </w:rPr>
              <w:t>试验台</w:t>
            </w:r>
          </w:p>
        </w:tc>
        <w:tc>
          <w:tcPr>
            <w:tcW w:w="1380"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EC70B0">
            <w:pPr>
              <w:ind w:firstLineChars="200" w:firstLine="420"/>
              <w:rPr>
                <w:rFonts w:ascii="宋体" w:eastAsia="宋体" w:hAnsi="宋体"/>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EC70B0" w:rsidP="00064290">
            <w:pPr>
              <w:jc w:val="center"/>
            </w:pPr>
            <w:r>
              <w:rPr>
                <w:rFonts w:hint="eastAsia"/>
              </w:rPr>
              <w:t>延米</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EC70B0" w:rsidP="00064290">
            <w:pPr>
              <w:jc w:val="center"/>
            </w:pPr>
            <w:r>
              <w:t>63</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E5130D" w:rsidTr="00861AD0">
        <w:trPr>
          <w:trHeight w:val="256"/>
          <w:jc w:val="center"/>
        </w:trPr>
        <w:tc>
          <w:tcPr>
            <w:tcW w:w="1022"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EC70B0" w:rsidP="00064290">
            <w:pPr>
              <w:jc w:val="center"/>
              <w:rPr>
                <w:rFonts w:ascii="宋体" w:eastAsia="宋体" w:hAnsi="宋体"/>
                <w:szCs w:val="21"/>
              </w:rPr>
            </w:pPr>
            <w:r w:rsidRPr="008A548F">
              <w:rPr>
                <w:rFonts w:ascii="宋体" w:eastAsia="宋体" w:hAnsi="宋体" w:hint="eastAsia"/>
                <w:szCs w:val="21"/>
              </w:rPr>
              <w:t>落地式紧急淋浴</w:t>
            </w:r>
          </w:p>
        </w:tc>
        <w:tc>
          <w:tcPr>
            <w:tcW w:w="1380"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EC70B0" w:rsidP="00064290">
            <w:pPr>
              <w:jc w:val="center"/>
            </w:pPr>
            <w:r>
              <w:rPr>
                <w:rFonts w:hint="eastAsia"/>
              </w:rPr>
              <w:t>套</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EC70B0" w:rsidP="00064290">
            <w:pPr>
              <w:jc w:val="center"/>
            </w:pPr>
            <w:r>
              <w:t>2</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E5130D" w:rsidTr="00861AD0">
        <w:trPr>
          <w:trHeight w:val="360"/>
          <w:jc w:val="center"/>
        </w:trPr>
        <w:tc>
          <w:tcPr>
            <w:tcW w:w="1022"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EC70B0" w:rsidP="00064290">
            <w:pPr>
              <w:jc w:val="center"/>
              <w:rPr>
                <w:rFonts w:ascii="宋体" w:eastAsia="宋体" w:hAnsi="宋体"/>
                <w:szCs w:val="21"/>
              </w:rPr>
            </w:pPr>
            <w:r w:rsidRPr="008A548F">
              <w:rPr>
                <w:rFonts w:ascii="宋体" w:eastAsia="宋体" w:hAnsi="宋体" w:hint="eastAsia"/>
                <w:szCs w:val="21"/>
              </w:rPr>
              <w:t>桌式</w:t>
            </w:r>
            <w:proofErr w:type="gramStart"/>
            <w:r w:rsidRPr="008A548F">
              <w:rPr>
                <w:rFonts w:ascii="宋体" w:eastAsia="宋体" w:hAnsi="宋体" w:hint="eastAsia"/>
                <w:szCs w:val="21"/>
              </w:rPr>
              <w:t>洗眼器</w:t>
            </w:r>
            <w:proofErr w:type="gramEnd"/>
          </w:p>
        </w:tc>
        <w:tc>
          <w:tcPr>
            <w:tcW w:w="1380"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697831" w:rsidP="00064290">
            <w:pPr>
              <w:jc w:val="center"/>
            </w:pPr>
            <w:r>
              <w:rPr>
                <w:rFonts w:hint="eastAsia"/>
              </w:rPr>
              <w:t>套</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EC70B0" w:rsidP="00064290">
            <w:pPr>
              <w:jc w:val="center"/>
            </w:pPr>
            <w:r>
              <w:t>8</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064290" w:rsidTr="00E81DA2">
        <w:trPr>
          <w:trHeight w:val="419"/>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left"/>
            </w:pPr>
            <w:r>
              <w:rPr>
                <w:rFonts w:hint="eastAsia"/>
              </w:rPr>
              <w:t xml:space="preserve">总价：（大写金额） </w:t>
            </w:r>
            <w:r>
              <w:t xml:space="preserve">                </w:t>
            </w:r>
            <w:r>
              <w:rPr>
                <w:rFonts w:hint="eastAsia"/>
              </w:rPr>
              <w:t>（小写金额）</w:t>
            </w:r>
          </w:p>
        </w:tc>
      </w:tr>
    </w:tbl>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88470B" w:rsidTr="00861AD0">
        <w:trPr>
          <w:trHeight w:val="397"/>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7F0910">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88470B" w:rsidTr="00861AD0">
        <w:trPr>
          <w:trHeight w:val="1268"/>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价格部分</w:t>
            </w:r>
          </w:p>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w:t>
            </w:r>
            <w:r w:rsidR="004F63A7" w:rsidRPr="0088470B">
              <w:rPr>
                <w:rFonts w:ascii="宋体" w:eastAsia="宋体" w:hAnsi="宋体"/>
                <w:szCs w:val="21"/>
              </w:rPr>
              <w:t>3</w:t>
            </w:r>
            <w:r w:rsidRPr="0088470B">
              <w:rPr>
                <w:rFonts w:ascii="宋体" w:eastAsia="宋体" w:hAnsi="宋体" w:hint="eastAsia"/>
                <w:szCs w:val="21"/>
              </w:rPr>
              <w:t>0分）</w:t>
            </w:r>
          </w:p>
        </w:tc>
        <w:tc>
          <w:tcPr>
            <w:tcW w:w="1418" w:type="dxa"/>
            <w:vAlign w:val="center"/>
          </w:tcPr>
          <w:p w:rsidR="00CF358D" w:rsidRPr="0088470B" w:rsidRDefault="00CF358D" w:rsidP="007F0910">
            <w:pPr>
              <w:widowControl/>
              <w:spacing w:line="276" w:lineRule="auto"/>
              <w:jc w:val="center"/>
              <w:rPr>
                <w:rFonts w:ascii="宋体" w:eastAsia="宋体" w:hAnsi="宋体"/>
                <w:szCs w:val="21"/>
              </w:rPr>
            </w:pPr>
            <w:r w:rsidRPr="0088470B">
              <w:rPr>
                <w:rFonts w:ascii="宋体" w:eastAsia="宋体" w:hAnsi="宋体" w:hint="eastAsia"/>
                <w:szCs w:val="21"/>
              </w:rPr>
              <w:t>价格分</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4F63A7" w:rsidRPr="0088470B">
              <w:rPr>
                <w:rFonts w:ascii="宋体" w:eastAsia="宋体" w:hAnsi="宋体"/>
                <w:szCs w:val="21"/>
              </w:rPr>
              <w:t>3</w:t>
            </w:r>
            <w:r w:rsidRPr="0088470B">
              <w:rPr>
                <w:rFonts w:ascii="宋体" w:eastAsia="宋体" w:hAnsi="宋体" w:hint="eastAsia"/>
                <w:szCs w:val="21"/>
              </w:rPr>
              <w:t>0。</w:t>
            </w:r>
          </w:p>
        </w:tc>
        <w:tc>
          <w:tcPr>
            <w:tcW w:w="851" w:type="dxa"/>
            <w:vAlign w:val="center"/>
          </w:tcPr>
          <w:p w:rsidR="00CF358D" w:rsidRPr="0088470B" w:rsidRDefault="004F63A7" w:rsidP="007F0910">
            <w:pPr>
              <w:spacing w:line="276" w:lineRule="auto"/>
              <w:ind w:firstLineChars="100" w:firstLine="210"/>
              <w:rPr>
                <w:rFonts w:ascii="宋体" w:eastAsia="宋体" w:hAnsi="宋体"/>
                <w:szCs w:val="21"/>
              </w:rPr>
            </w:pPr>
            <w:r w:rsidRPr="0088470B">
              <w:rPr>
                <w:rFonts w:ascii="宋体" w:eastAsia="宋体" w:hAnsi="宋体"/>
                <w:szCs w:val="21"/>
              </w:rPr>
              <w:t>3</w:t>
            </w:r>
            <w:r w:rsidR="00CF358D" w:rsidRPr="0088470B">
              <w:rPr>
                <w:rFonts w:ascii="宋体" w:eastAsia="宋体" w:hAnsi="宋体" w:hint="eastAsia"/>
                <w:szCs w:val="21"/>
              </w:rPr>
              <w:t>0</w:t>
            </w:r>
          </w:p>
        </w:tc>
      </w:tr>
      <w:tr w:rsidR="00CF358D" w:rsidRPr="0088470B" w:rsidTr="0088470B">
        <w:trPr>
          <w:jc w:val="center"/>
        </w:trPr>
        <w:tc>
          <w:tcPr>
            <w:tcW w:w="1242" w:type="dxa"/>
            <w:vMerge w:val="restart"/>
            <w:vAlign w:val="center"/>
          </w:tcPr>
          <w:p w:rsidR="00CF358D" w:rsidRPr="0088470B" w:rsidRDefault="00CF358D" w:rsidP="007F0910">
            <w:pPr>
              <w:spacing w:line="276" w:lineRule="auto"/>
              <w:rPr>
                <w:rFonts w:ascii="宋体" w:eastAsia="宋体" w:hAnsi="宋体"/>
                <w:szCs w:val="21"/>
              </w:rPr>
            </w:pPr>
            <w:r w:rsidRPr="0088470B">
              <w:rPr>
                <w:rFonts w:ascii="宋体" w:eastAsia="宋体" w:hAnsi="宋体" w:hint="eastAsia"/>
                <w:szCs w:val="21"/>
              </w:rPr>
              <w:t>商务</w:t>
            </w:r>
            <w:r w:rsidRPr="0088470B">
              <w:rPr>
                <w:rFonts w:ascii="宋体" w:eastAsia="宋体" w:hAnsi="宋体"/>
                <w:szCs w:val="21"/>
              </w:rPr>
              <w:t>部分</w:t>
            </w:r>
            <w:r w:rsidRPr="0088470B">
              <w:rPr>
                <w:rFonts w:ascii="宋体" w:eastAsia="宋体" w:hAnsi="宋体" w:hint="eastAsia"/>
                <w:szCs w:val="21"/>
              </w:rPr>
              <w:t>（</w:t>
            </w:r>
            <w:r w:rsidR="00115C02">
              <w:rPr>
                <w:rFonts w:ascii="宋体" w:eastAsia="宋体" w:hAnsi="宋体"/>
                <w:szCs w:val="21"/>
              </w:rPr>
              <w:t>20</w:t>
            </w:r>
            <w:r w:rsidRPr="0088470B">
              <w:rPr>
                <w:rFonts w:ascii="宋体" w:eastAsia="宋体" w:hAnsi="宋体" w:hint="eastAsia"/>
                <w:szCs w:val="21"/>
              </w:rPr>
              <w:t>分）</w:t>
            </w:r>
          </w:p>
        </w:tc>
        <w:tc>
          <w:tcPr>
            <w:tcW w:w="1418" w:type="dxa"/>
            <w:vAlign w:val="center"/>
          </w:tcPr>
          <w:p w:rsidR="00CF358D" w:rsidRPr="0088470B" w:rsidRDefault="00CF358D" w:rsidP="007F0910">
            <w:pPr>
              <w:adjustRightInd w:val="0"/>
              <w:spacing w:line="276" w:lineRule="auto"/>
              <w:textAlignment w:val="baseline"/>
              <w:rPr>
                <w:rFonts w:ascii="宋体" w:eastAsia="宋体" w:hAnsi="宋体"/>
                <w:szCs w:val="21"/>
              </w:rPr>
            </w:pPr>
            <w:r w:rsidRPr="0088470B">
              <w:rPr>
                <w:rFonts w:ascii="宋体" w:eastAsia="宋体" w:hAnsi="宋体" w:hint="eastAsia"/>
                <w:szCs w:val="21"/>
              </w:rPr>
              <w:t>投标文件质量</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有目录索引、页码无错乱、标题、编号、正文、表格等排版规范得</w:t>
            </w:r>
            <w:r w:rsidR="00115C02">
              <w:rPr>
                <w:rFonts w:ascii="宋体" w:eastAsia="宋体" w:hAnsi="宋体"/>
                <w:szCs w:val="21"/>
              </w:rPr>
              <w:t>4</w:t>
            </w:r>
            <w:r w:rsidRPr="0088470B">
              <w:rPr>
                <w:rFonts w:ascii="宋体" w:eastAsia="宋体" w:hAnsi="宋体" w:hint="eastAsia"/>
                <w:szCs w:val="21"/>
              </w:rPr>
              <w:t>分，每出现一个错误扣1分，扣完为止。</w:t>
            </w:r>
          </w:p>
        </w:tc>
        <w:tc>
          <w:tcPr>
            <w:tcW w:w="851" w:type="dxa"/>
            <w:vAlign w:val="center"/>
          </w:tcPr>
          <w:p w:rsidR="00CF358D" w:rsidRPr="0088470B" w:rsidRDefault="00115C02" w:rsidP="007F0910">
            <w:pPr>
              <w:spacing w:line="276" w:lineRule="auto"/>
              <w:ind w:firstLineChars="150" w:firstLine="315"/>
              <w:rPr>
                <w:rFonts w:ascii="宋体" w:eastAsia="宋体" w:hAnsi="宋体"/>
                <w:szCs w:val="21"/>
              </w:rPr>
            </w:pPr>
            <w:r>
              <w:rPr>
                <w:rFonts w:ascii="宋体" w:eastAsia="宋体" w:hAnsi="宋体"/>
                <w:szCs w:val="21"/>
              </w:rPr>
              <w:t>4</w:t>
            </w:r>
          </w:p>
        </w:tc>
      </w:tr>
      <w:tr w:rsidR="00CF358D" w:rsidRPr="0088470B" w:rsidTr="0088470B">
        <w:trPr>
          <w:trHeight w:val="1452"/>
          <w:jc w:val="center"/>
        </w:trPr>
        <w:tc>
          <w:tcPr>
            <w:tcW w:w="1242" w:type="dxa"/>
            <w:vMerge/>
            <w:vAlign w:val="center"/>
          </w:tcPr>
          <w:p w:rsidR="00CF358D" w:rsidRPr="0088470B" w:rsidRDefault="00CF358D" w:rsidP="007F0910">
            <w:pPr>
              <w:spacing w:line="276" w:lineRule="auto"/>
              <w:jc w:val="center"/>
              <w:rPr>
                <w:rFonts w:ascii="宋体" w:eastAsia="宋体" w:hAnsi="宋体"/>
                <w:szCs w:val="21"/>
              </w:rPr>
            </w:pPr>
          </w:p>
        </w:tc>
        <w:tc>
          <w:tcPr>
            <w:tcW w:w="1418" w:type="dxa"/>
            <w:vAlign w:val="center"/>
          </w:tcPr>
          <w:p w:rsidR="00CF358D" w:rsidRPr="0088470B" w:rsidRDefault="00CF358D" w:rsidP="007F0910">
            <w:pPr>
              <w:widowControl/>
              <w:spacing w:line="276" w:lineRule="auto"/>
              <w:rPr>
                <w:rFonts w:ascii="宋体" w:eastAsia="宋体" w:hAnsi="宋体"/>
                <w:szCs w:val="21"/>
              </w:rPr>
            </w:pPr>
            <w:r w:rsidRPr="0088470B">
              <w:rPr>
                <w:rFonts w:ascii="宋体" w:eastAsia="宋体" w:hAnsi="宋体" w:hint="eastAsia"/>
                <w:szCs w:val="21"/>
              </w:rPr>
              <w:t>投标人类似项目案例</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提供近三年内（20</w:t>
            </w:r>
            <w:r w:rsidR="00782827">
              <w:rPr>
                <w:rFonts w:ascii="宋体" w:eastAsia="宋体" w:hAnsi="宋体"/>
                <w:szCs w:val="21"/>
              </w:rPr>
              <w:t>21</w:t>
            </w:r>
            <w:r w:rsidR="009623CC">
              <w:rPr>
                <w:rFonts w:ascii="宋体" w:eastAsia="宋体" w:hAnsi="宋体" w:hint="eastAsia"/>
                <w:szCs w:val="21"/>
              </w:rPr>
              <w:t>年1</w:t>
            </w:r>
            <w:r w:rsidR="009623CC">
              <w:rPr>
                <w:rFonts w:ascii="宋体" w:eastAsia="宋体" w:hAnsi="宋体"/>
                <w:szCs w:val="21"/>
              </w:rPr>
              <w:t>1</w:t>
            </w:r>
            <w:r w:rsidR="009623CC">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需提供合同复印件，包含合同首页、合同金额页和签字盖章页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CF358D" w:rsidRPr="0088470B" w:rsidRDefault="00CF358D" w:rsidP="007F0910">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CF358D" w:rsidRPr="0088470B" w:rsidTr="00861AD0">
        <w:trPr>
          <w:trHeight w:val="1641"/>
          <w:jc w:val="center"/>
        </w:trPr>
        <w:tc>
          <w:tcPr>
            <w:tcW w:w="1242" w:type="dxa"/>
            <w:vMerge/>
            <w:vAlign w:val="center"/>
          </w:tcPr>
          <w:p w:rsidR="00CF358D" w:rsidRPr="0088470B" w:rsidRDefault="00CF358D" w:rsidP="007F0910">
            <w:pPr>
              <w:spacing w:line="276" w:lineRule="auto"/>
              <w:jc w:val="center"/>
              <w:rPr>
                <w:rFonts w:ascii="宋体" w:eastAsia="宋体" w:hAnsi="宋体"/>
                <w:szCs w:val="21"/>
              </w:rPr>
            </w:pPr>
          </w:p>
        </w:tc>
        <w:tc>
          <w:tcPr>
            <w:tcW w:w="1418" w:type="dxa"/>
            <w:vAlign w:val="center"/>
          </w:tcPr>
          <w:p w:rsidR="00CF358D" w:rsidRPr="0088470B" w:rsidRDefault="00CF358D" w:rsidP="007F0910">
            <w:pPr>
              <w:widowControl/>
              <w:spacing w:line="276" w:lineRule="auto"/>
              <w:rPr>
                <w:rFonts w:ascii="宋体" w:eastAsia="宋体" w:hAnsi="宋体"/>
                <w:szCs w:val="21"/>
              </w:rPr>
            </w:pPr>
            <w:r w:rsidRPr="0088470B">
              <w:rPr>
                <w:rFonts w:ascii="宋体" w:eastAsia="宋体" w:hAnsi="宋体" w:hint="eastAsia"/>
                <w:szCs w:val="21"/>
              </w:rPr>
              <w:t>管理体系认证</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投标人具有质量管理体系（ISO9001或GB/T19001）、环境管理体系（ISO14001或GB/T24001）、职业健康安全管理体系（OHSAS18001或GB/T28001）认证证书（提供彩色扫描件），每有一项得</w:t>
            </w:r>
            <w:r w:rsidR="00A65802">
              <w:rPr>
                <w:rFonts w:ascii="宋体" w:eastAsia="宋体" w:hAnsi="宋体"/>
                <w:szCs w:val="21"/>
              </w:rPr>
              <w:t>1</w:t>
            </w:r>
            <w:r w:rsidRPr="0088470B">
              <w:rPr>
                <w:rFonts w:ascii="宋体" w:eastAsia="宋体" w:hAnsi="宋体" w:hint="eastAsia"/>
                <w:szCs w:val="21"/>
              </w:rPr>
              <w:t>分，最高</w:t>
            </w:r>
            <w:r w:rsidR="00115C02">
              <w:rPr>
                <w:rFonts w:ascii="宋体" w:eastAsia="宋体" w:hAnsi="宋体"/>
                <w:szCs w:val="21"/>
              </w:rPr>
              <w:t>6</w:t>
            </w:r>
            <w:r w:rsidRPr="0088470B">
              <w:rPr>
                <w:rFonts w:ascii="宋体" w:eastAsia="宋体" w:hAnsi="宋体" w:hint="eastAsia"/>
                <w:szCs w:val="21"/>
              </w:rPr>
              <w:t>分。</w:t>
            </w:r>
          </w:p>
        </w:tc>
        <w:tc>
          <w:tcPr>
            <w:tcW w:w="851" w:type="dxa"/>
            <w:vAlign w:val="center"/>
          </w:tcPr>
          <w:p w:rsidR="00CF358D" w:rsidRPr="0088470B" w:rsidRDefault="00115C02" w:rsidP="007F0910">
            <w:pPr>
              <w:spacing w:line="276" w:lineRule="auto"/>
              <w:ind w:firstLineChars="133" w:firstLine="279"/>
              <w:rPr>
                <w:rFonts w:ascii="宋体" w:eastAsia="宋体" w:hAnsi="宋体"/>
                <w:szCs w:val="21"/>
              </w:rPr>
            </w:pPr>
            <w:r>
              <w:rPr>
                <w:rFonts w:ascii="宋体" w:eastAsia="宋体" w:hAnsi="宋体"/>
                <w:szCs w:val="21"/>
              </w:rPr>
              <w:t>6</w:t>
            </w:r>
          </w:p>
        </w:tc>
      </w:tr>
      <w:tr w:rsidR="00A65802" w:rsidRPr="0088470B" w:rsidTr="00861AD0">
        <w:trPr>
          <w:trHeight w:val="972"/>
          <w:jc w:val="center"/>
        </w:trPr>
        <w:tc>
          <w:tcPr>
            <w:tcW w:w="1242" w:type="dxa"/>
            <w:vMerge w:val="restart"/>
            <w:vAlign w:val="center"/>
          </w:tcPr>
          <w:p w:rsidR="00A65802" w:rsidRPr="0088470B" w:rsidRDefault="00A65802" w:rsidP="007F0910">
            <w:pPr>
              <w:spacing w:line="276" w:lineRule="auto"/>
              <w:rPr>
                <w:rFonts w:ascii="宋体" w:eastAsia="宋体" w:hAnsi="宋体" w:hint="eastAsia"/>
                <w:szCs w:val="21"/>
              </w:rPr>
            </w:pPr>
            <w:r w:rsidRPr="0088470B">
              <w:rPr>
                <w:rFonts w:ascii="宋体" w:eastAsia="宋体" w:hAnsi="宋体" w:hint="eastAsia"/>
                <w:szCs w:val="21"/>
              </w:rPr>
              <w:t>技术部分（</w:t>
            </w:r>
            <w:r w:rsidR="00620B9F">
              <w:rPr>
                <w:rFonts w:ascii="宋体" w:eastAsia="宋体" w:hAnsi="宋体"/>
                <w:szCs w:val="21"/>
              </w:rPr>
              <w:t>50</w:t>
            </w:r>
            <w:r w:rsidRPr="0088470B">
              <w:rPr>
                <w:rFonts w:ascii="宋体" w:eastAsia="宋体" w:hAnsi="宋体" w:hint="eastAsia"/>
                <w:szCs w:val="21"/>
              </w:rPr>
              <w:t>分）</w:t>
            </w:r>
          </w:p>
        </w:tc>
        <w:tc>
          <w:tcPr>
            <w:tcW w:w="1418" w:type="dxa"/>
            <w:vAlign w:val="center"/>
          </w:tcPr>
          <w:p w:rsidR="00A65802" w:rsidRPr="0088470B" w:rsidRDefault="00A65802" w:rsidP="007F0910">
            <w:pPr>
              <w:spacing w:line="276" w:lineRule="auto"/>
              <w:rPr>
                <w:rFonts w:ascii="宋体" w:eastAsia="宋体" w:hAnsi="宋体" w:hint="eastAsia"/>
                <w:szCs w:val="21"/>
              </w:rPr>
            </w:pPr>
            <w:r>
              <w:rPr>
                <w:rFonts w:ascii="宋体" w:eastAsia="宋体" w:hAnsi="宋体" w:hint="eastAsia"/>
                <w:szCs w:val="21"/>
              </w:rPr>
              <w:t>项目要求</w:t>
            </w:r>
          </w:p>
        </w:tc>
        <w:tc>
          <w:tcPr>
            <w:tcW w:w="4281" w:type="dxa"/>
            <w:vAlign w:val="center"/>
          </w:tcPr>
          <w:p w:rsidR="00A65802" w:rsidRPr="0088470B" w:rsidRDefault="00A65802" w:rsidP="00861AD0">
            <w:pPr>
              <w:rPr>
                <w:rFonts w:ascii="宋体" w:eastAsia="宋体" w:hAnsi="宋体" w:hint="eastAsia"/>
                <w:szCs w:val="21"/>
              </w:rPr>
            </w:pPr>
            <w:r>
              <w:rPr>
                <w:rFonts w:ascii="宋体" w:eastAsia="宋体" w:hAnsi="宋体" w:hint="eastAsia"/>
                <w:szCs w:val="21"/>
              </w:rPr>
              <w:t>是否满足项目要求，</w:t>
            </w:r>
            <w:r w:rsidR="00115C02">
              <w:rPr>
                <w:rFonts w:ascii="宋体" w:eastAsia="宋体" w:hAnsi="宋体" w:hint="eastAsia"/>
                <w:szCs w:val="21"/>
              </w:rPr>
              <w:t>全部满足得</w:t>
            </w:r>
            <w:r w:rsidR="00640259">
              <w:rPr>
                <w:rFonts w:ascii="宋体" w:eastAsia="宋体" w:hAnsi="宋体" w:hint="eastAsia"/>
                <w:szCs w:val="21"/>
              </w:rPr>
              <w:t>2</w:t>
            </w:r>
            <w:r w:rsidR="00640259">
              <w:rPr>
                <w:rFonts w:ascii="宋体" w:eastAsia="宋体" w:hAnsi="宋体"/>
                <w:szCs w:val="21"/>
              </w:rPr>
              <w:t>0</w:t>
            </w:r>
            <w:r w:rsidR="00640259">
              <w:rPr>
                <w:rFonts w:ascii="宋体" w:eastAsia="宋体" w:hAnsi="宋体" w:hint="eastAsia"/>
                <w:szCs w:val="21"/>
              </w:rPr>
              <w:t>分，每</w:t>
            </w:r>
            <w:r w:rsidRPr="0088470B">
              <w:rPr>
                <w:rFonts w:ascii="宋体" w:eastAsia="宋体" w:hAnsi="宋体" w:hint="eastAsia"/>
                <w:szCs w:val="21"/>
              </w:rPr>
              <w:t>有一</w:t>
            </w:r>
            <w:r w:rsidR="00640259">
              <w:rPr>
                <w:rFonts w:ascii="宋体" w:eastAsia="宋体" w:hAnsi="宋体" w:hint="eastAsia"/>
                <w:szCs w:val="21"/>
              </w:rPr>
              <w:t>项不满足扣</w:t>
            </w:r>
            <w:r w:rsidRPr="0088470B">
              <w:rPr>
                <w:rFonts w:ascii="宋体" w:eastAsia="宋体" w:hAnsi="宋体" w:hint="eastAsia"/>
                <w:szCs w:val="21"/>
              </w:rPr>
              <w:t>2分</w:t>
            </w:r>
            <w:r w:rsidR="00640259">
              <w:rPr>
                <w:rFonts w:ascii="宋体" w:eastAsia="宋体" w:hAnsi="宋体" w:hint="eastAsia"/>
                <w:szCs w:val="21"/>
              </w:rPr>
              <w:t>，扣完为止。</w:t>
            </w:r>
            <w:r w:rsidR="00115C02">
              <w:rPr>
                <w:rFonts w:ascii="宋体" w:eastAsia="宋体" w:hAnsi="宋体" w:hint="eastAsia"/>
                <w:szCs w:val="21"/>
              </w:rPr>
              <w:t>（需附偏离表或承诺书</w:t>
            </w:r>
            <w:bookmarkStart w:id="1" w:name="_GoBack"/>
            <w:bookmarkEnd w:id="1"/>
            <w:r w:rsidR="00115C02">
              <w:rPr>
                <w:rFonts w:ascii="宋体" w:eastAsia="宋体" w:hAnsi="宋体" w:hint="eastAsia"/>
                <w:szCs w:val="21"/>
              </w:rPr>
              <w:t>）</w:t>
            </w:r>
          </w:p>
        </w:tc>
        <w:tc>
          <w:tcPr>
            <w:tcW w:w="851" w:type="dxa"/>
            <w:vAlign w:val="center"/>
          </w:tcPr>
          <w:p w:rsidR="00A65802" w:rsidRPr="0088470B" w:rsidRDefault="00115C02" w:rsidP="007F0910">
            <w:pPr>
              <w:spacing w:line="276" w:lineRule="auto"/>
              <w:ind w:firstLineChars="83" w:firstLine="174"/>
              <w:rPr>
                <w:rFonts w:ascii="宋体" w:eastAsia="宋体" w:hAnsi="宋体" w:hint="eastAsia"/>
                <w:szCs w:val="21"/>
              </w:rPr>
            </w:pPr>
            <w:r>
              <w:rPr>
                <w:rFonts w:ascii="宋体" w:eastAsia="宋体" w:hAnsi="宋体" w:hint="eastAsia"/>
                <w:szCs w:val="21"/>
              </w:rPr>
              <w:t>2</w:t>
            </w:r>
            <w:r>
              <w:rPr>
                <w:rFonts w:ascii="宋体" w:eastAsia="宋体" w:hAnsi="宋体"/>
                <w:szCs w:val="21"/>
              </w:rPr>
              <w:t>0</w:t>
            </w:r>
          </w:p>
        </w:tc>
      </w:tr>
      <w:tr w:rsidR="00115C02" w:rsidRPr="0088470B" w:rsidTr="00861AD0">
        <w:trPr>
          <w:trHeight w:val="3000"/>
          <w:jc w:val="center"/>
        </w:trPr>
        <w:tc>
          <w:tcPr>
            <w:tcW w:w="1242" w:type="dxa"/>
            <w:vMerge/>
            <w:vAlign w:val="center"/>
          </w:tcPr>
          <w:p w:rsidR="00115C02" w:rsidRPr="0088470B" w:rsidRDefault="00115C02" w:rsidP="007F0910">
            <w:pPr>
              <w:spacing w:line="276" w:lineRule="auto"/>
              <w:rPr>
                <w:rFonts w:ascii="宋体" w:eastAsia="宋体" w:hAnsi="宋体"/>
                <w:szCs w:val="21"/>
              </w:rPr>
            </w:pPr>
            <w:bookmarkStart w:id="2" w:name="gxebd_pack_1_EvalFactorScoreEnd"/>
            <w:bookmarkEnd w:id="2"/>
          </w:p>
        </w:tc>
        <w:tc>
          <w:tcPr>
            <w:tcW w:w="1418" w:type="dxa"/>
            <w:vAlign w:val="center"/>
          </w:tcPr>
          <w:p w:rsidR="00115C02" w:rsidRPr="0088470B" w:rsidRDefault="00115C02" w:rsidP="007F0910">
            <w:pPr>
              <w:spacing w:line="276" w:lineRule="auto"/>
              <w:rPr>
                <w:rFonts w:ascii="宋体" w:eastAsia="宋体" w:hAnsi="宋体"/>
                <w:szCs w:val="21"/>
              </w:rPr>
            </w:pPr>
            <w:r w:rsidRPr="0088470B">
              <w:rPr>
                <w:rFonts w:ascii="宋体" w:eastAsia="宋体" w:hAnsi="宋体" w:hint="eastAsia"/>
                <w:szCs w:val="21"/>
              </w:rPr>
              <w:t>整体实施方案评价</w:t>
            </w:r>
          </w:p>
        </w:tc>
        <w:tc>
          <w:tcPr>
            <w:tcW w:w="4281" w:type="dxa"/>
            <w:vAlign w:val="center"/>
          </w:tcPr>
          <w:p w:rsidR="00115C02" w:rsidRDefault="00115C02" w:rsidP="00861AD0">
            <w:pPr>
              <w:rPr>
                <w:rFonts w:ascii="宋体" w:eastAsia="宋体" w:hAnsi="宋体"/>
                <w:szCs w:val="21"/>
              </w:rPr>
            </w:pPr>
            <w:r w:rsidRPr="0088470B">
              <w:rPr>
                <w:rFonts w:ascii="宋体" w:eastAsia="宋体" w:hAnsi="宋体" w:hint="eastAsia"/>
                <w:szCs w:val="21"/>
              </w:rPr>
              <w:t xml:space="preserve">针对供应商能够充分说明保证本项目按时供货及进度所采用的措施、计划，配备车辆、人员等供货及安装方案情况进行综合评审，酌情评分 </w:t>
            </w:r>
          </w:p>
          <w:p w:rsidR="00CD77CE" w:rsidRDefault="00115C02" w:rsidP="00861AD0">
            <w:pPr>
              <w:rPr>
                <w:rFonts w:ascii="宋体" w:eastAsia="宋体" w:hAnsi="宋体"/>
                <w:szCs w:val="21"/>
              </w:rPr>
            </w:pPr>
            <w:r>
              <w:rPr>
                <w:rFonts w:ascii="宋体" w:eastAsia="宋体" w:hAnsi="宋体" w:hint="eastAsia"/>
                <w:szCs w:val="21"/>
              </w:rPr>
              <w:t>方案合理</w:t>
            </w:r>
            <w:r w:rsidR="00CD77CE">
              <w:rPr>
                <w:rFonts w:ascii="宋体" w:eastAsia="宋体" w:hAnsi="宋体" w:hint="eastAsia"/>
                <w:szCs w:val="21"/>
              </w:rPr>
              <w:t>可实施性强，</w:t>
            </w:r>
            <w:r>
              <w:rPr>
                <w:rFonts w:ascii="宋体" w:eastAsia="宋体" w:hAnsi="宋体" w:hint="eastAsia"/>
                <w:szCs w:val="21"/>
              </w:rPr>
              <w:t>得</w:t>
            </w:r>
            <w:r w:rsidR="00CD77CE">
              <w:rPr>
                <w:rFonts w:ascii="宋体" w:eastAsia="宋体" w:hAnsi="宋体"/>
                <w:szCs w:val="21"/>
              </w:rPr>
              <w:t>20</w:t>
            </w:r>
            <w:r>
              <w:rPr>
                <w:rFonts w:ascii="宋体" w:eastAsia="宋体" w:hAnsi="宋体" w:hint="eastAsia"/>
                <w:szCs w:val="21"/>
              </w:rPr>
              <w:t>分</w:t>
            </w:r>
          </w:p>
          <w:p w:rsidR="00CD77CE" w:rsidRDefault="00CD77CE" w:rsidP="00861AD0">
            <w:pPr>
              <w:rPr>
                <w:rFonts w:ascii="宋体" w:eastAsia="宋体" w:hAnsi="宋体"/>
                <w:szCs w:val="21"/>
              </w:rPr>
            </w:pPr>
            <w:r>
              <w:rPr>
                <w:rFonts w:ascii="宋体" w:eastAsia="宋体" w:hAnsi="宋体" w:hint="eastAsia"/>
                <w:szCs w:val="21"/>
              </w:rPr>
              <w:t>方案较合理可实施性较强，</w:t>
            </w:r>
            <w:r w:rsidR="00115C02">
              <w:rPr>
                <w:rFonts w:ascii="宋体" w:eastAsia="宋体" w:hAnsi="宋体" w:hint="eastAsia"/>
                <w:szCs w:val="21"/>
              </w:rPr>
              <w:t>得</w:t>
            </w:r>
            <w:r>
              <w:rPr>
                <w:rFonts w:ascii="宋体" w:eastAsia="宋体" w:hAnsi="宋体"/>
                <w:szCs w:val="21"/>
              </w:rPr>
              <w:t>15</w:t>
            </w:r>
            <w:r w:rsidR="00115C02">
              <w:rPr>
                <w:rFonts w:ascii="宋体" w:eastAsia="宋体" w:hAnsi="宋体" w:hint="eastAsia"/>
                <w:szCs w:val="21"/>
              </w:rPr>
              <w:t>分</w:t>
            </w:r>
          </w:p>
          <w:p w:rsidR="00CD77CE" w:rsidRDefault="00115C02" w:rsidP="00861AD0">
            <w:pPr>
              <w:rPr>
                <w:rFonts w:ascii="宋体" w:eastAsia="宋体" w:hAnsi="宋体"/>
                <w:szCs w:val="21"/>
              </w:rPr>
            </w:pPr>
            <w:r>
              <w:rPr>
                <w:rFonts w:ascii="宋体" w:eastAsia="宋体" w:hAnsi="宋体" w:hint="eastAsia"/>
                <w:szCs w:val="21"/>
              </w:rPr>
              <w:t>方案</w:t>
            </w:r>
            <w:r w:rsidR="00CD77CE">
              <w:rPr>
                <w:rFonts w:ascii="宋体" w:eastAsia="宋体" w:hAnsi="宋体" w:hint="eastAsia"/>
                <w:szCs w:val="21"/>
              </w:rPr>
              <w:t>较合理可实施性一般，得1</w:t>
            </w:r>
            <w:r w:rsidR="00CD77CE">
              <w:rPr>
                <w:rFonts w:ascii="宋体" w:eastAsia="宋体" w:hAnsi="宋体"/>
                <w:szCs w:val="21"/>
              </w:rPr>
              <w:t>0</w:t>
            </w:r>
            <w:r w:rsidR="00CD77CE">
              <w:rPr>
                <w:rFonts w:ascii="宋体" w:eastAsia="宋体" w:hAnsi="宋体" w:hint="eastAsia"/>
                <w:szCs w:val="21"/>
              </w:rPr>
              <w:t>分</w:t>
            </w:r>
          </w:p>
          <w:p w:rsidR="00CD77CE" w:rsidRDefault="00CD77CE" w:rsidP="00861AD0">
            <w:pPr>
              <w:rPr>
                <w:rFonts w:ascii="宋体" w:eastAsia="宋体" w:hAnsi="宋体" w:hint="eastAsia"/>
                <w:szCs w:val="21"/>
              </w:rPr>
            </w:pPr>
            <w:r>
              <w:rPr>
                <w:rFonts w:ascii="宋体" w:eastAsia="宋体" w:hAnsi="宋体" w:hint="eastAsia"/>
                <w:szCs w:val="21"/>
              </w:rPr>
              <w:t>方案一般</w:t>
            </w:r>
            <w:r w:rsidR="00B10A5B">
              <w:rPr>
                <w:rFonts w:ascii="宋体" w:eastAsia="宋体" w:hAnsi="宋体" w:hint="eastAsia"/>
                <w:szCs w:val="21"/>
              </w:rPr>
              <w:t>可实施性一般，得5分</w:t>
            </w:r>
          </w:p>
          <w:p w:rsidR="00115C02" w:rsidRPr="0088470B" w:rsidRDefault="00B10A5B" w:rsidP="00861AD0">
            <w:pPr>
              <w:rPr>
                <w:rFonts w:ascii="宋体" w:eastAsia="宋体" w:hAnsi="宋体" w:hint="eastAsia"/>
                <w:szCs w:val="21"/>
              </w:rPr>
            </w:pPr>
            <w:r>
              <w:rPr>
                <w:rFonts w:ascii="宋体" w:eastAsia="宋体" w:hAnsi="宋体" w:hint="eastAsia"/>
                <w:szCs w:val="21"/>
              </w:rPr>
              <w:t>方案</w:t>
            </w:r>
            <w:r w:rsidR="00115C02">
              <w:rPr>
                <w:rFonts w:ascii="宋体" w:eastAsia="宋体" w:hAnsi="宋体" w:hint="eastAsia"/>
                <w:szCs w:val="21"/>
              </w:rPr>
              <w:t>较差或</w:t>
            </w:r>
            <w:proofErr w:type="gramStart"/>
            <w:r w:rsidR="00115C02">
              <w:rPr>
                <w:rFonts w:ascii="宋体" w:eastAsia="宋体" w:hAnsi="宋体" w:hint="eastAsia"/>
                <w:szCs w:val="21"/>
              </w:rPr>
              <w:t>无方案得</w:t>
            </w:r>
            <w:proofErr w:type="gramEnd"/>
            <w:r w:rsidR="00115C02">
              <w:rPr>
                <w:rFonts w:ascii="宋体" w:eastAsia="宋体" w:hAnsi="宋体" w:hint="eastAsia"/>
                <w:szCs w:val="21"/>
              </w:rPr>
              <w:t>0分。</w:t>
            </w:r>
          </w:p>
        </w:tc>
        <w:tc>
          <w:tcPr>
            <w:tcW w:w="851" w:type="dxa"/>
            <w:vAlign w:val="center"/>
          </w:tcPr>
          <w:p w:rsidR="00115C02" w:rsidRPr="0088470B" w:rsidRDefault="00115C02" w:rsidP="007F0910">
            <w:pPr>
              <w:spacing w:line="276" w:lineRule="auto"/>
              <w:ind w:firstLineChars="83" w:firstLine="174"/>
              <w:rPr>
                <w:rFonts w:ascii="宋体" w:eastAsia="宋体" w:hAnsi="宋体"/>
                <w:szCs w:val="21"/>
              </w:rPr>
            </w:pPr>
            <w:r>
              <w:rPr>
                <w:rFonts w:ascii="宋体" w:eastAsia="宋体" w:hAnsi="宋体"/>
                <w:szCs w:val="21"/>
              </w:rPr>
              <w:t>20</w:t>
            </w:r>
          </w:p>
        </w:tc>
      </w:tr>
      <w:tr w:rsidR="00115C02" w:rsidRPr="0088470B" w:rsidTr="00861AD0">
        <w:trPr>
          <w:trHeight w:val="905"/>
          <w:jc w:val="center"/>
        </w:trPr>
        <w:tc>
          <w:tcPr>
            <w:tcW w:w="1242" w:type="dxa"/>
            <w:vMerge/>
            <w:vAlign w:val="center"/>
          </w:tcPr>
          <w:p w:rsidR="00115C02" w:rsidRPr="0088470B" w:rsidRDefault="00115C02" w:rsidP="007F0910">
            <w:pPr>
              <w:spacing w:line="276" w:lineRule="auto"/>
              <w:ind w:firstLine="440"/>
              <w:rPr>
                <w:rFonts w:ascii="宋体" w:eastAsia="宋体" w:hAnsi="宋体"/>
                <w:szCs w:val="21"/>
              </w:rPr>
            </w:pPr>
          </w:p>
        </w:tc>
        <w:tc>
          <w:tcPr>
            <w:tcW w:w="1418" w:type="dxa"/>
            <w:vAlign w:val="center"/>
          </w:tcPr>
          <w:p w:rsidR="00115C02" w:rsidRPr="0088470B" w:rsidRDefault="00115C02" w:rsidP="007F0910">
            <w:pPr>
              <w:spacing w:beforeLines="100" w:before="312" w:line="276" w:lineRule="auto"/>
              <w:rPr>
                <w:rFonts w:ascii="宋体" w:eastAsia="宋体" w:hAnsi="宋体" w:hint="eastAsia"/>
                <w:szCs w:val="21"/>
              </w:rPr>
            </w:pPr>
            <w:r w:rsidRPr="0088470B">
              <w:rPr>
                <w:rFonts w:ascii="宋体" w:eastAsia="宋体" w:hAnsi="宋体" w:hint="eastAsia"/>
                <w:szCs w:val="21"/>
              </w:rPr>
              <w:t>增值服务</w:t>
            </w:r>
          </w:p>
        </w:tc>
        <w:tc>
          <w:tcPr>
            <w:tcW w:w="4281" w:type="dxa"/>
            <w:vAlign w:val="center"/>
          </w:tcPr>
          <w:p w:rsidR="00115C02" w:rsidRPr="0088470B" w:rsidRDefault="00115C02" w:rsidP="00861AD0">
            <w:pPr>
              <w:rPr>
                <w:rFonts w:ascii="宋体" w:eastAsia="宋体" w:hAnsi="宋体"/>
                <w:szCs w:val="21"/>
              </w:rPr>
            </w:pPr>
            <w:r w:rsidRPr="0088470B">
              <w:rPr>
                <w:rFonts w:ascii="宋体" w:eastAsia="宋体" w:hAnsi="宋体" w:hint="eastAsia"/>
                <w:szCs w:val="21"/>
              </w:rPr>
              <w:t>根据</w:t>
            </w:r>
            <w:r w:rsidR="00CD77CE">
              <w:rPr>
                <w:rFonts w:ascii="宋体" w:eastAsia="宋体" w:hAnsi="宋体" w:hint="eastAsia"/>
                <w:szCs w:val="21"/>
              </w:rPr>
              <w:t>供应商</w:t>
            </w:r>
            <w:r w:rsidRPr="0088470B">
              <w:rPr>
                <w:rFonts w:ascii="宋体" w:eastAsia="宋体" w:hAnsi="宋体" w:hint="eastAsia"/>
                <w:szCs w:val="21"/>
              </w:rPr>
              <w:t>提供针对本项目后期提供有价值的额外服务的情况，每提出1项得</w:t>
            </w:r>
            <w:r>
              <w:rPr>
                <w:rFonts w:ascii="宋体" w:eastAsia="宋体" w:hAnsi="宋体"/>
                <w:szCs w:val="21"/>
              </w:rPr>
              <w:t>1</w:t>
            </w:r>
            <w:r w:rsidRPr="0088470B">
              <w:rPr>
                <w:rFonts w:ascii="宋体" w:eastAsia="宋体" w:hAnsi="宋体" w:hint="eastAsia"/>
                <w:szCs w:val="21"/>
              </w:rPr>
              <w:t>分，最多</w:t>
            </w:r>
            <w:r>
              <w:rPr>
                <w:rFonts w:ascii="宋体" w:eastAsia="宋体" w:hAnsi="宋体" w:hint="eastAsia"/>
                <w:szCs w:val="21"/>
              </w:rPr>
              <w:t>5</w:t>
            </w:r>
            <w:r w:rsidRPr="0088470B">
              <w:rPr>
                <w:rFonts w:ascii="宋体" w:eastAsia="宋体" w:hAnsi="宋体" w:hint="eastAsia"/>
                <w:szCs w:val="21"/>
              </w:rPr>
              <w:t>分</w:t>
            </w:r>
          </w:p>
        </w:tc>
        <w:tc>
          <w:tcPr>
            <w:tcW w:w="851" w:type="dxa"/>
            <w:vAlign w:val="center"/>
          </w:tcPr>
          <w:p w:rsidR="00115C02" w:rsidRPr="0088470B" w:rsidRDefault="00115C02" w:rsidP="007F0910">
            <w:pPr>
              <w:spacing w:line="276" w:lineRule="auto"/>
              <w:ind w:firstLineChars="83" w:firstLine="174"/>
              <w:rPr>
                <w:rFonts w:ascii="宋体" w:eastAsia="宋体" w:hAnsi="宋体"/>
                <w:szCs w:val="21"/>
              </w:rPr>
            </w:pPr>
            <w:r>
              <w:rPr>
                <w:rFonts w:ascii="宋体" w:eastAsia="宋体" w:hAnsi="宋体"/>
                <w:szCs w:val="21"/>
              </w:rPr>
              <w:t>5</w:t>
            </w:r>
          </w:p>
        </w:tc>
      </w:tr>
      <w:tr w:rsidR="00115C02" w:rsidRPr="0088470B" w:rsidTr="00861AD0">
        <w:trPr>
          <w:trHeight w:val="1233"/>
          <w:jc w:val="center"/>
        </w:trPr>
        <w:tc>
          <w:tcPr>
            <w:tcW w:w="1242" w:type="dxa"/>
            <w:vMerge/>
            <w:vAlign w:val="center"/>
          </w:tcPr>
          <w:p w:rsidR="00115C02" w:rsidRPr="0088470B" w:rsidRDefault="00115C02" w:rsidP="007F0910">
            <w:pPr>
              <w:spacing w:line="276" w:lineRule="auto"/>
              <w:ind w:firstLine="440"/>
              <w:rPr>
                <w:rFonts w:ascii="宋体" w:eastAsia="宋体" w:hAnsi="宋体"/>
                <w:szCs w:val="21"/>
              </w:rPr>
            </w:pPr>
          </w:p>
        </w:tc>
        <w:tc>
          <w:tcPr>
            <w:tcW w:w="1418" w:type="dxa"/>
            <w:vAlign w:val="center"/>
          </w:tcPr>
          <w:p w:rsidR="00115C02" w:rsidRPr="0088470B" w:rsidRDefault="00115C02" w:rsidP="007F0910">
            <w:pPr>
              <w:spacing w:line="276" w:lineRule="auto"/>
              <w:rPr>
                <w:rFonts w:ascii="宋体" w:eastAsia="宋体" w:hAnsi="宋体"/>
                <w:szCs w:val="21"/>
              </w:rPr>
            </w:pPr>
            <w:r>
              <w:rPr>
                <w:rFonts w:ascii="宋体" w:eastAsia="宋体" w:hAnsi="宋体" w:hint="eastAsia"/>
                <w:szCs w:val="21"/>
              </w:rPr>
              <w:t>售后服务方案</w:t>
            </w:r>
          </w:p>
        </w:tc>
        <w:tc>
          <w:tcPr>
            <w:tcW w:w="4281" w:type="dxa"/>
            <w:vAlign w:val="center"/>
          </w:tcPr>
          <w:p w:rsidR="00115C02" w:rsidRDefault="00115C02" w:rsidP="00861AD0">
            <w:pPr>
              <w:rPr>
                <w:rFonts w:ascii="宋体" w:eastAsia="宋体" w:hAnsi="宋体"/>
                <w:szCs w:val="21"/>
              </w:rPr>
            </w:pPr>
            <w:r>
              <w:rPr>
                <w:rFonts w:ascii="宋体" w:eastAsia="宋体" w:hAnsi="宋体" w:hint="eastAsia"/>
                <w:szCs w:val="21"/>
              </w:rPr>
              <w:t>针对投标人售后服务方案酌情打分</w:t>
            </w:r>
          </w:p>
          <w:p w:rsidR="00621327" w:rsidRDefault="00115C02" w:rsidP="00861AD0">
            <w:pPr>
              <w:rPr>
                <w:rFonts w:ascii="宋体" w:eastAsia="宋体" w:hAnsi="宋体"/>
                <w:szCs w:val="21"/>
              </w:rPr>
            </w:pPr>
            <w:r>
              <w:rPr>
                <w:rFonts w:ascii="宋体" w:eastAsia="宋体" w:hAnsi="宋体" w:hint="eastAsia"/>
                <w:szCs w:val="21"/>
              </w:rPr>
              <w:t>方案合理得5分</w:t>
            </w:r>
          </w:p>
          <w:p w:rsidR="00621327" w:rsidRDefault="00115C02" w:rsidP="00861AD0">
            <w:pPr>
              <w:rPr>
                <w:rFonts w:ascii="宋体" w:eastAsia="宋体" w:hAnsi="宋体"/>
                <w:szCs w:val="21"/>
              </w:rPr>
            </w:pPr>
            <w:r>
              <w:rPr>
                <w:rFonts w:ascii="宋体" w:eastAsia="宋体" w:hAnsi="宋体" w:hint="eastAsia"/>
                <w:szCs w:val="21"/>
              </w:rPr>
              <w:t>方案一般得3分</w:t>
            </w:r>
          </w:p>
          <w:p w:rsidR="00115C02" w:rsidRPr="0088470B" w:rsidRDefault="00115C02" w:rsidP="00861AD0">
            <w:pPr>
              <w:rPr>
                <w:rFonts w:ascii="宋体" w:eastAsia="宋体" w:hAnsi="宋体"/>
                <w:szCs w:val="21"/>
              </w:rPr>
            </w:pPr>
            <w:r>
              <w:rPr>
                <w:rFonts w:ascii="宋体" w:eastAsia="宋体" w:hAnsi="宋体" w:hint="eastAsia"/>
                <w:szCs w:val="21"/>
              </w:rPr>
              <w:t>方案较差或</w:t>
            </w:r>
            <w:proofErr w:type="gramStart"/>
            <w:r>
              <w:rPr>
                <w:rFonts w:ascii="宋体" w:eastAsia="宋体" w:hAnsi="宋体" w:hint="eastAsia"/>
                <w:szCs w:val="21"/>
              </w:rPr>
              <w:t>无方案得</w:t>
            </w:r>
            <w:proofErr w:type="gramEnd"/>
            <w:r>
              <w:rPr>
                <w:rFonts w:ascii="宋体" w:eastAsia="宋体" w:hAnsi="宋体" w:hint="eastAsia"/>
                <w:szCs w:val="21"/>
              </w:rPr>
              <w:t>0分。</w:t>
            </w:r>
          </w:p>
        </w:tc>
        <w:tc>
          <w:tcPr>
            <w:tcW w:w="851" w:type="dxa"/>
            <w:vAlign w:val="center"/>
          </w:tcPr>
          <w:p w:rsidR="00115C02" w:rsidRPr="0088470B" w:rsidRDefault="00620B9F" w:rsidP="007F0910">
            <w:pPr>
              <w:spacing w:line="276" w:lineRule="auto"/>
              <w:ind w:firstLineChars="83" w:firstLine="174"/>
              <w:rPr>
                <w:rFonts w:ascii="宋体" w:eastAsia="宋体" w:hAnsi="宋体"/>
                <w:szCs w:val="21"/>
              </w:rPr>
            </w:pPr>
            <w:r>
              <w:rPr>
                <w:rFonts w:ascii="宋体" w:eastAsia="宋体" w:hAnsi="宋体"/>
                <w:szCs w:val="21"/>
              </w:rPr>
              <w:t>5</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Pr>
          <w:rFonts w:ascii="宋体" w:eastAsia="宋体" w:hAnsi="宋体"/>
          <w:szCs w:val="21"/>
        </w:rPr>
        <w:t>4</w:t>
      </w:r>
      <w:r>
        <w:rPr>
          <w:rFonts w:ascii="宋体" w:eastAsia="宋体" w:hAnsi="宋体" w:hint="eastAsia"/>
          <w:szCs w:val="21"/>
        </w:rPr>
        <w:t>年</w:t>
      </w:r>
      <w:r w:rsidR="003D225B">
        <w:rPr>
          <w:rFonts w:ascii="宋体" w:eastAsia="宋体" w:hAnsi="宋体"/>
          <w:szCs w:val="21"/>
        </w:rPr>
        <w:t>12</w:t>
      </w:r>
      <w:r>
        <w:rPr>
          <w:rFonts w:ascii="宋体" w:eastAsia="宋体" w:hAnsi="宋体" w:hint="eastAsia"/>
          <w:szCs w:val="21"/>
        </w:rPr>
        <w:t>月</w:t>
      </w:r>
      <w:r w:rsidR="003D225B">
        <w:rPr>
          <w:rFonts w:ascii="宋体" w:eastAsia="宋体" w:hAnsi="宋体"/>
          <w:szCs w:val="21"/>
        </w:rPr>
        <w:t>5</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Pr>
          <w:rFonts w:ascii="宋体" w:eastAsia="宋体" w:hAnsi="宋体"/>
          <w:szCs w:val="21"/>
        </w:rPr>
        <w:t>4</w:t>
      </w:r>
      <w:r>
        <w:rPr>
          <w:rFonts w:ascii="宋体" w:eastAsia="宋体" w:hAnsi="宋体" w:hint="eastAsia"/>
          <w:szCs w:val="21"/>
        </w:rPr>
        <w:t>年</w:t>
      </w:r>
      <w:r w:rsidR="003D225B">
        <w:rPr>
          <w:rFonts w:ascii="宋体" w:eastAsia="宋体" w:hAnsi="宋体" w:hint="eastAsia"/>
          <w:szCs w:val="21"/>
        </w:rPr>
        <w:t>1</w:t>
      </w:r>
      <w:r w:rsidR="003D225B">
        <w:rPr>
          <w:rFonts w:ascii="宋体" w:eastAsia="宋体" w:hAnsi="宋体"/>
          <w:szCs w:val="21"/>
        </w:rPr>
        <w:t>2</w:t>
      </w:r>
      <w:r>
        <w:rPr>
          <w:rFonts w:ascii="宋体" w:eastAsia="宋体" w:hAnsi="宋体" w:hint="eastAsia"/>
          <w:szCs w:val="21"/>
        </w:rPr>
        <w:t>月</w:t>
      </w:r>
      <w:r w:rsidR="003D225B">
        <w:rPr>
          <w:rFonts w:ascii="宋体" w:eastAsia="宋体" w:hAnsi="宋体"/>
          <w:szCs w:val="21"/>
        </w:rPr>
        <w:t>5</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w:t>
      </w:r>
      <w:proofErr w:type="gramStart"/>
      <w:r>
        <w:rPr>
          <w:rFonts w:ascii="宋体" w:eastAsia="宋体" w:hAnsi="宋体" w:hint="eastAsia"/>
          <w:szCs w:val="21"/>
        </w:rPr>
        <w:t>仪大厦</w:t>
      </w:r>
      <w:proofErr w:type="gramEnd"/>
      <w:r w:rsidR="00B80F6D">
        <w:rPr>
          <w:rFonts w:ascii="宋体" w:eastAsia="宋体" w:hAnsi="宋体"/>
          <w:szCs w:val="21"/>
        </w:rPr>
        <w:t>10</w:t>
      </w:r>
      <w:r w:rsidR="003D225B">
        <w:rPr>
          <w:rFonts w:ascii="宋体" w:eastAsia="宋体" w:hAnsi="宋体"/>
          <w:szCs w:val="21"/>
        </w:rPr>
        <w:t>02</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b/>
          <w:szCs w:val="21"/>
        </w:rPr>
      </w:pPr>
    </w:p>
    <w:p w:rsidR="007F0910" w:rsidRDefault="007F0910">
      <w:pPr>
        <w:widowControl/>
        <w:jc w:val="left"/>
        <w:rPr>
          <w:rFonts w:ascii="宋体" w:eastAsia="宋体" w:hAnsi="宋体"/>
          <w:b/>
          <w:szCs w:val="21"/>
        </w:rPr>
      </w:pPr>
    </w:p>
    <w:p w:rsidR="007F0910" w:rsidRDefault="007F0910">
      <w:pPr>
        <w:widowControl/>
        <w:jc w:val="left"/>
        <w:rPr>
          <w:rFonts w:ascii="宋体" w:eastAsia="宋体" w:hAnsi="宋体"/>
          <w:b/>
          <w:szCs w:val="21"/>
        </w:rPr>
      </w:pPr>
      <w:r>
        <w:rPr>
          <w:rFonts w:ascii="宋体" w:eastAsia="宋体" w:hAnsi="宋体"/>
          <w:b/>
          <w:szCs w:val="21"/>
        </w:rPr>
        <w:br w:type="page"/>
      </w:r>
    </w:p>
    <w:p w:rsidR="007F0910" w:rsidRDefault="007F0910">
      <w:pPr>
        <w:widowControl/>
        <w:jc w:val="left"/>
        <w:rPr>
          <w:rFonts w:ascii="宋体" w:eastAsia="宋体" w:hAnsi="宋体"/>
          <w:b/>
          <w:szCs w:val="21"/>
        </w:rPr>
      </w:pPr>
      <w:r>
        <w:rPr>
          <w:rFonts w:ascii="宋体" w:eastAsia="宋体" w:hAnsi="宋体" w:hint="eastAsia"/>
          <w:b/>
          <w:szCs w:val="21"/>
        </w:rPr>
        <w:lastRenderedPageBreak/>
        <w:t>附件一</w:t>
      </w:r>
    </w:p>
    <w:tbl>
      <w:tblPr>
        <w:tblW w:w="8222" w:type="dxa"/>
        <w:tblInd w:w="-10" w:type="dxa"/>
        <w:tblLook w:val="04A0" w:firstRow="1" w:lastRow="0" w:firstColumn="1" w:lastColumn="0" w:noHBand="0" w:noVBand="1"/>
      </w:tblPr>
      <w:tblGrid>
        <w:gridCol w:w="424"/>
        <w:gridCol w:w="959"/>
        <w:gridCol w:w="1134"/>
        <w:gridCol w:w="1476"/>
        <w:gridCol w:w="543"/>
        <w:gridCol w:w="3686"/>
      </w:tblGrid>
      <w:tr w:rsidR="007F0910" w:rsidRPr="007F0910" w:rsidTr="00E527A5">
        <w:trPr>
          <w:trHeight w:val="524"/>
        </w:trPr>
        <w:tc>
          <w:tcPr>
            <w:tcW w:w="424"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序号</w:t>
            </w:r>
          </w:p>
        </w:tc>
        <w:tc>
          <w:tcPr>
            <w:tcW w:w="959" w:type="dxa"/>
            <w:tcBorders>
              <w:top w:val="single" w:sz="8"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项目名称</w:t>
            </w:r>
          </w:p>
        </w:tc>
        <w:tc>
          <w:tcPr>
            <w:tcW w:w="1134" w:type="dxa"/>
            <w:tcBorders>
              <w:top w:val="single" w:sz="8"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参考图片</w:t>
            </w:r>
          </w:p>
        </w:tc>
        <w:tc>
          <w:tcPr>
            <w:tcW w:w="1476" w:type="dxa"/>
            <w:tcBorders>
              <w:top w:val="single" w:sz="8"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规格</w:t>
            </w:r>
          </w:p>
        </w:tc>
        <w:tc>
          <w:tcPr>
            <w:tcW w:w="543" w:type="dxa"/>
            <w:tcBorders>
              <w:top w:val="single" w:sz="8"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单位</w:t>
            </w:r>
          </w:p>
        </w:tc>
        <w:tc>
          <w:tcPr>
            <w:tcW w:w="3686" w:type="dxa"/>
            <w:tcBorders>
              <w:top w:val="single" w:sz="8" w:space="0" w:color="000000"/>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备注</w:t>
            </w:r>
          </w:p>
        </w:tc>
      </w:tr>
      <w:tr w:rsidR="007F0910" w:rsidRPr="007F0910" w:rsidTr="00E527A5">
        <w:trPr>
          <w:trHeight w:val="45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11#污物暂存室</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r>
      <w:tr w:rsidR="007F0910" w:rsidRPr="007F0910" w:rsidTr="00E527A5">
        <w:trPr>
          <w:trHeight w:val="94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-261620</wp:posOffset>
                        </wp:positionV>
                        <wp:extent cx="561975" cy="523875"/>
                        <wp:effectExtent l="0" t="0" r="0" b="9525"/>
                        <wp:wrapNone/>
                        <wp:docPr id="3" name="图片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00000000-0008-0000-0000-000003000000}"/>
                                    </a:ext>
                                  </a:extLst>
                                </pic:cNvPr>
                                <pic:cNvPicPr>
                                  <a:picLocks noChangeAspect="1"/>
                                </pic:cNvPicPr>
                              </pic:nvPicPr>
                              <pic:blipFill>
                                <a:blip r:embed="rId8"/>
                                <a:stretch>
                                  <a:fillRect/>
                                </a:stretch>
                              </pic:blipFill>
                              <pic:spPr>
                                <a:xfrm>
                                  <a:off x="0" y="0"/>
                                  <a:ext cx="561975" cy="523875"/>
                                </a:xfrm>
                                <a:prstGeom prst="rect">
                                  <a:avLst/>
                                </a:prstGeom>
                              </pic:spPr>
                            </pic:pic>
                          </a:graphicData>
                        </a:graphic>
                        <wp14:sizeRelH relativeFrom="page">
                          <wp14:pctWidth>0</wp14:pctWidth>
                        </wp14:sizeRelH>
                        <wp14:sizeRelV relativeFrom="page">
                          <wp14:pctHeight>0</wp14:pctHeight>
                        </wp14:sizeRelV>
                      </wp:anchor>
                    </w:drawing>
                  </w: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1400*750*850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89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750*750*850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25.4mm，滑轨采用三节承重滑轨，门板采用阻尼铰链，配置C型拉手</w:t>
            </w:r>
          </w:p>
        </w:tc>
      </w:tr>
      <w:tr w:rsidR="007F0910" w:rsidRPr="007F0910" w:rsidTr="00E527A5">
        <w:trPr>
          <w:trHeight w:val="98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加宽实验台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1000*1000*850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25.4mm，滑轨采用三节承重滑轨，门板采用阻尼铰链，配置C型拉手</w:t>
            </w:r>
          </w:p>
        </w:tc>
      </w:tr>
      <w:tr w:rsidR="007F0910" w:rsidRPr="007F0910" w:rsidTr="00E527A5">
        <w:trPr>
          <w:trHeight w:val="48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7F0910">
        <w:trPr>
          <w:trHeight w:val="46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9#质控室</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r>
      <w:tr w:rsidR="007F0910" w:rsidRPr="007F0910" w:rsidTr="00E527A5">
        <w:trPr>
          <w:trHeight w:val="95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-27305</wp:posOffset>
                        </wp:positionH>
                        <wp:positionV relativeFrom="paragraph">
                          <wp:posOffset>-18415</wp:posOffset>
                        </wp:positionV>
                        <wp:extent cx="552450" cy="542925"/>
                        <wp:effectExtent l="0" t="0" r="0" b="0"/>
                        <wp:wrapNone/>
                        <wp:docPr id="4" name="图片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00000000-0008-0000-0000-000004000000}"/>
                                    </a:ext>
                                  </a:extLst>
                                </pic:cNvPr>
                                <pic:cNvPicPr>
                                  <a:picLocks noChangeAspect="1"/>
                                </pic:cNvPicPr>
                              </pic:nvPicPr>
                              <pic:blipFill>
                                <a:blip r:embed="rId8"/>
                                <a:stretch>
                                  <a:fillRect/>
                                </a:stretch>
                              </pic:blipFill>
                              <pic:spPr>
                                <a:xfrm>
                                  <a:off x="0" y="0"/>
                                  <a:ext cx="552450" cy="542925"/>
                                </a:xfrm>
                                <a:prstGeom prst="rect">
                                  <a:avLst/>
                                </a:prstGeom>
                              </pic:spPr>
                            </pic:pic>
                          </a:graphicData>
                        </a:graphic>
                        <wp14:sizeRelH relativeFrom="page">
                          <wp14:pctWidth>0</wp14:pctWidth>
                        </wp14:sizeRelH>
                        <wp14:sizeRelV relativeFrom="page">
                          <wp14:pctHeight>0</wp14:pctHeight>
                        </wp14:sizeRelV>
                      </wp:anchor>
                    </w:drawing>
                  </w: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1200*700*850*2</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61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6050*750*850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560"/>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5100*300*600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49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E527A5">
        <w:trPr>
          <w:trHeight w:val="566"/>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7F0910">
        <w:trPr>
          <w:trHeight w:val="49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10#测序室</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r>
      <w:tr w:rsidR="007F0910" w:rsidRPr="007F0910" w:rsidTr="00E527A5">
        <w:trPr>
          <w:trHeight w:val="983"/>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8890</wp:posOffset>
                        </wp:positionH>
                        <wp:positionV relativeFrom="paragraph">
                          <wp:posOffset>-210820</wp:posOffset>
                        </wp:positionV>
                        <wp:extent cx="552450" cy="542925"/>
                        <wp:effectExtent l="0" t="0" r="0" b="0"/>
                        <wp:wrapNone/>
                        <wp:docPr id="5" name="图片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00000000-0008-0000-0000-000005000000}"/>
                                    </a:ext>
                                  </a:extLst>
                                </pic:cNvPr>
                                <pic:cNvPicPr>
                                  <a:picLocks noChangeAspect="1"/>
                                </pic:cNvPicPr>
                              </pic:nvPicPr>
                              <pic:blipFill>
                                <a:blip r:embed="rId8"/>
                                <a:stretch>
                                  <a:fillRect/>
                                </a:stretch>
                              </pic:blipFill>
                              <pic:spPr>
                                <a:xfrm>
                                  <a:off x="0" y="0"/>
                                  <a:ext cx="552450" cy="542925"/>
                                </a:xfrm>
                                <a:prstGeom prst="rect">
                                  <a:avLst/>
                                </a:prstGeom>
                              </pic:spPr>
                            </pic:pic>
                          </a:graphicData>
                        </a:graphic>
                        <wp14:sizeRelH relativeFrom="page">
                          <wp14:pctWidth>0</wp14:pctWidth>
                        </wp14:sizeRelH>
                        <wp14:sizeRelV relativeFrom="page">
                          <wp14:pctHeight>0</wp14:pctHeight>
                        </wp14:sizeRelV>
                      </wp:anchor>
                    </w:drawing>
                  </w: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2000*750*850*2</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92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加宽实验台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3220*900*850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1016"/>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加宽实验台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5500*900*850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380"/>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3220*300*600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46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4600*300*600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41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lastRenderedPageBreak/>
              <w:t>6</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E527A5">
        <w:trPr>
          <w:trHeight w:val="631"/>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7</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E527A5">
        <w:trPr>
          <w:trHeight w:val="577"/>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8#扩增室</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r>
      <w:tr w:rsidR="007F0910" w:rsidRPr="007F0910" w:rsidTr="00E527A5">
        <w:trPr>
          <w:trHeight w:val="101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7620</wp:posOffset>
                  </wp:positionH>
                  <wp:positionV relativeFrom="paragraph">
                    <wp:posOffset>-7620</wp:posOffset>
                  </wp:positionV>
                  <wp:extent cx="552450" cy="523875"/>
                  <wp:effectExtent l="0" t="0" r="0" b="9525"/>
                  <wp:wrapNone/>
                  <wp:docPr id="6" name="图片 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00000000-0008-0000-0000-000006000000}"/>
                              </a:ext>
                            </a:extLst>
                          </pic:cNvPr>
                          <pic:cNvPicPr>
                            <a:picLocks noChangeAspect="1"/>
                          </pic:cNvPicPr>
                        </pic:nvPicPr>
                        <pic:blipFill>
                          <a:blip r:embed="rId8"/>
                          <a:stretch>
                            <a:fillRect/>
                          </a:stretch>
                        </pic:blipFill>
                        <pic:spPr>
                          <a:xfrm>
                            <a:off x="0" y="0"/>
                            <a:ext cx="552450" cy="5238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1500*750*850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95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2120*750*850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103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3570*750*850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38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2770*300*600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55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E527A5">
        <w:trPr>
          <w:trHeight w:val="65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6</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E527A5">
        <w:trPr>
          <w:trHeight w:val="44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7#杂交捕获</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r>
      <w:tr w:rsidR="007F0910" w:rsidRPr="007F0910" w:rsidTr="00E527A5">
        <w:trPr>
          <w:trHeight w:val="99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15240</wp:posOffset>
                  </wp:positionH>
                  <wp:positionV relativeFrom="paragraph">
                    <wp:posOffset>102235</wp:posOffset>
                  </wp:positionV>
                  <wp:extent cx="561975" cy="533400"/>
                  <wp:effectExtent l="0" t="0" r="0" b="0"/>
                  <wp:wrapNone/>
                  <wp:docPr id="7" name="图片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00000000-0008-0000-0000-000007000000}"/>
                              </a:ext>
                            </a:extLst>
                          </pic:cNvPr>
                          <pic:cNvPicPr>
                            <a:picLocks noChangeAspect="1"/>
                          </pic:cNvPicPr>
                        </pic:nvPicPr>
                        <pic:blipFill>
                          <a:blip r:embed="rId8"/>
                          <a:stretch>
                            <a:fillRect/>
                          </a:stretch>
                        </pic:blipFill>
                        <pic:spPr>
                          <a:xfrm>
                            <a:off x="0" y="0"/>
                            <a:ext cx="561975" cy="5334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2690*750*850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89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3280*750*850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56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3080*300*600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50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1940*300*600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441"/>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E527A5">
        <w:trPr>
          <w:trHeight w:val="515"/>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6</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7F0910">
        <w:trPr>
          <w:trHeight w:val="52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样本接收室</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r>
      <w:tr w:rsidR="007F0910" w:rsidRPr="007F0910" w:rsidTr="00E527A5">
        <w:trPr>
          <w:trHeight w:val="92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E527A5" w:rsidP="007F0910">
            <w:pPr>
              <w:widowControl/>
              <w:jc w:val="left"/>
              <w:rPr>
                <w:rFonts w:ascii="宋体" w:eastAsia="宋体" w:hAnsi="宋体" w:cs="宋体" w:hint="eastAsia"/>
                <w:color w:val="000000"/>
                <w:kern w:val="0"/>
                <w:sz w:val="22"/>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20320</wp:posOffset>
                  </wp:positionH>
                  <wp:positionV relativeFrom="paragraph">
                    <wp:posOffset>143510</wp:posOffset>
                  </wp:positionV>
                  <wp:extent cx="552450" cy="533400"/>
                  <wp:effectExtent l="0" t="0" r="0" b="0"/>
                  <wp:wrapNone/>
                  <wp:docPr id="8" name="图片 8">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00000000-0008-0000-0000-000008000000}"/>
                              </a:ext>
                            </a:extLst>
                          </pic:cNvPr>
                          <pic:cNvPicPr>
                            <a:picLocks noChangeAspect="1"/>
                          </pic:cNvPicPr>
                        </pic:nvPicPr>
                        <pic:blipFill>
                          <a:blip r:embed="rId8"/>
                          <a:stretch>
                            <a:fillRect/>
                          </a:stretch>
                        </pic:blipFill>
                        <pic:spPr>
                          <a:xfrm>
                            <a:off x="0" y="0"/>
                            <a:ext cx="552450" cy="533400"/>
                          </a:xfrm>
                          <a:prstGeom prst="rect">
                            <a:avLst/>
                          </a:prstGeom>
                        </pic:spPr>
                      </pic:pic>
                    </a:graphicData>
                  </a:graphic>
                  <wp14:sizeRelH relativeFrom="page">
                    <wp14:pctWidth>0</wp14:pctWidth>
                  </wp14:sizeRelH>
                  <wp14:sizeRelV relativeFrom="page">
                    <wp14:pctHeight>0</wp14:pctHeight>
                  </wp14:sizeRelV>
                </wp:anchor>
              </w:drawing>
            </w: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lastRenderedPageBreak/>
              <w:t>2300*700*850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963"/>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lastRenderedPageBreak/>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2090*600*850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25.4mm，滑轨采用三节承重滑轨，门板采用阻尼铰链，配置C型拉手</w:t>
            </w:r>
          </w:p>
        </w:tc>
      </w:tr>
      <w:tr w:rsidR="007F0910" w:rsidRPr="007F0910" w:rsidTr="00E527A5">
        <w:trPr>
          <w:trHeight w:val="42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2300*300*600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E527A5">
        <w:trPr>
          <w:trHeight w:val="517"/>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E527A5">
        <w:trPr>
          <w:trHeight w:val="590"/>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E527A5">
        <w:trPr>
          <w:trHeight w:val="39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分子病理</w:t>
            </w:r>
            <w:proofErr w:type="gramStart"/>
            <w:r w:rsidRPr="007F0910">
              <w:rPr>
                <w:rFonts w:ascii="宋体" w:eastAsia="宋体" w:hAnsi="宋体" w:cs="宋体" w:hint="eastAsia"/>
                <w:b/>
                <w:bCs/>
                <w:color w:val="000000"/>
                <w:kern w:val="0"/>
                <w:sz w:val="18"/>
                <w:szCs w:val="18"/>
              </w:rPr>
              <w:t>审查室</w:t>
            </w:r>
            <w:proofErr w:type="gramEnd"/>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b/>
                <w:bCs/>
                <w:color w:val="000000"/>
                <w:kern w:val="0"/>
                <w:sz w:val="18"/>
                <w:szCs w:val="18"/>
              </w:rPr>
            </w:pPr>
            <w:r w:rsidRPr="007F0910">
              <w:rPr>
                <w:rFonts w:ascii="宋体" w:eastAsia="宋体" w:hAnsi="宋体" w:cs="宋体" w:hint="eastAsia"/>
                <w:b/>
                <w:bCs/>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 xml:space="preserve">　</w:t>
            </w:r>
          </w:p>
        </w:tc>
      </w:tr>
      <w:tr w:rsidR="007F0910" w:rsidRPr="007F0910" w:rsidTr="00E527A5">
        <w:trPr>
          <w:trHeight w:val="87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-8890</wp:posOffset>
                        </wp:positionH>
                        <wp:positionV relativeFrom="paragraph">
                          <wp:posOffset>-222250</wp:posOffset>
                        </wp:positionV>
                        <wp:extent cx="561975" cy="523875"/>
                        <wp:effectExtent l="0" t="0" r="0" b="9525"/>
                        <wp:wrapNone/>
                        <wp:docPr id="9" name="图片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00000000-0008-0000-0000-000009000000}"/>
                                    </a:ext>
                                  </a:extLst>
                                </pic:cNvPr>
                                <pic:cNvPicPr>
                                  <a:picLocks noChangeAspect="1"/>
                                </pic:cNvPicPr>
                              </pic:nvPicPr>
                              <pic:blipFill>
                                <a:blip r:embed="rId8"/>
                                <a:stretch>
                                  <a:fillRect/>
                                </a:stretch>
                              </pic:blipFill>
                              <pic:spPr>
                                <a:xfrm>
                                  <a:off x="0" y="0"/>
                                  <a:ext cx="561975" cy="523875"/>
                                </a:xfrm>
                                <a:prstGeom prst="rect">
                                  <a:avLst/>
                                </a:prstGeom>
                              </pic:spPr>
                            </pic:pic>
                          </a:graphicData>
                        </a:graphic>
                        <wp14:sizeRelH relativeFrom="page">
                          <wp14:pctWidth>0</wp14:pctWidth>
                        </wp14:sizeRelH>
                        <wp14:sizeRelV relativeFrom="page">
                          <wp14:pctHeight>0</wp14:pctHeight>
                        </wp14:sizeRelV>
                      </wp:anchor>
                    </w:drawing>
                  </w: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1200*700*850*4</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946"/>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4400*750*850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25.4mm，滑轨采用三节承重滑轨，门板采用阻尼铰链，配置C型拉手</w:t>
            </w:r>
          </w:p>
        </w:tc>
      </w:tr>
      <w:tr w:rsidR="007F0910" w:rsidRPr="007F0910" w:rsidTr="00E527A5">
        <w:trPr>
          <w:trHeight w:val="467"/>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E527A5">
        <w:trPr>
          <w:trHeight w:val="555"/>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干细胞制剂质控室</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rsidTr="00E527A5">
        <w:trPr>
          <w:trHeight w:val="100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-29845</wp:posOffset>
                        </wp:positionH>
                        <wp:positionV relativeFrom="paragraph">
                          <wp:posOffset>-154305</wp:posOffset>
                        </wp:positionV>
                        <wp:extent cx="552450" cy="523875"/>
                        <wp:effectExtent l="0" t="0" r="0" b="9525"/>
                        <wp:wrapNone/>
                        <wp:docPr id="10" name="图片 10">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00000000-0008-0000-0000-00000A000000}"/>
                                    </a:ext>
                                  </a:extLst>
                                </pic:cNvPr>
                                <pic:cNvPicPr>
                                  <a:picLocks noChangeAspect="1"/>
                                </pic:cNvPicPr>
                              </pic:nvPicPr>
                              <pic:blipFill>
                                <a:blip r:embed="rId8"/>
                                <a:stretch>
                                  <a:fillRect/>
                                </a:stretch>
                              </pic:blipFill>
                              <pic:spPr>
                                <a:xfrm>
                                  <a:off x="0" y="0"/>
                                  <a:ext cx="552450" cy="523875"/>
                                </a:xfrm>
                                <a:prstGeom prst="rect">
                                  <a:avLst/>
                                </a:prstGeom>
                              </pic:spPr>
                            </pic:pic>
                          </a:graphicData>
                        </a:graphic>
                        <wp14:sizeRelH relativeFrom="page">
                          <wp14:pctWidth>0</wp14:pctWidth>
                        </wp14:sizeRelH>
                        <wp14:sizeRelV relativeFrom="page">
                          <wp14:pctHeight>0</wp14:pctHeight>
                        </wp14:sizeRelV>
                      </wp:anchor>
                    </w:drawing>
                  </w: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1190*650*850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510"/>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E527A5">
        <w:trPr>
          <w:trHeight w:val="456"/>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细胞培养间</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rsidTr="00E527A5">
        <w:trPr>
          <w:trHeight w:val="963"/>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-11430</wp:posOffset>
                        </wp:positionH>
                        <wp:positionV relativeFrom="paragraph">
                          <wp:posOffset>-121285</wp:posOffset>
                        </wp:positionV>
                        <wp:extent cx="552450" cy="542925"/>
                        <wp:effectExtent l="0" t="0" r="0" b="0"/>
                        <wp:wrapNone/>
                        <wp:docPr id="11" name="图片 11">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00000000-0008-0000-0000-00000B000000}"/>
                                    </a:ext>
                                  </a:extLst>
                                </pic:cNvPr>
                                <pic:cNvPicPr>
                                  <a:picLocks noChangeAspect="1"/>
                                </pic:cNvPicPr>
                              </pic:nvPicPr>
                              <pic:blipFill>
                                <a:blip r:embed="rId8"/>
                                <a:stretch>
                                  <a:fillRect/>
                                </a:stretch>
                              </pic:blipFill>
                              <pic:spPr>
                                <a:xfrm>
                                  <a:off x="0" y="0"/>
                                  <a:ext cx="552450" cy="542925"/>
                                </a:xfrm>
                                <a:prstGeom prst="rect">
                                  <a:avLst/>
                                </a:prstGeom>
                              </pic:spPr>
                            </pic:pic>
                          </a:graphicData>
                        </a:graphic>
                        <wp14:sizeRelH relativeFrom="page">
                          <wp14:pctWidth>0</wp14:pctWidth>
                        </wp14:sizeRelH>
                        <wp14:sizeRelV relativeFrom="page">
                          <wp14:pctHeight>0</wp14:pctHeight>
                        </wp14:sizeRelV>
                      </wp:anchor>
                    </w:drawing>
                  </w: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3120*650*850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E527A5">
        <w:trPr>
          <w:trHeight w:val="42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E527A5">
        <w:trPr>
          <w:trHeight w:val="518"/>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7F0910">
        <w:trPr>
          <w:trHeight w:val="44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单细胞测序</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rsidTr="007F0910">
        <w:trPr>
          <w:trHeight w:val="997"/>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加宽实验台</w:t>
            </w:r>
          </w:p>
        </w:tc>
        <w:tc>
          <w:tcPr>
            <w:tcW w:w="1134" w:type="dxa"/>
            <w:vMerge w:val="restart"/>
            <w:tcBorders>
              <w:top w:val="nil"/>
              <w:left w:val="nil"/>
              <w:bottom w:val="single" w:sz="4" w:space="0" w:color="000000"/>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15875</wp:posOffset>
                  </wp:positionH>
                  <wp:positionV relativeFrom="paragraph">
                    <wp:posOffset>-5080</wp:posOffset>
                  </wp:positionV>
                  <wp:extent cx="552450" cy="523875"/>
                  <wp:effectExtent l="0" t="0" r="0" b="9525"/>
                  <wp:wrapNone/>
                  <wp:docPr id="12" name="图片 1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picture">
                      <pic:pic xmlns:pic="http://schemas.openxmlformats.org/drawingml/2006/picture">
                        <pic:nvPicPr>
                          <pic:cNvPr id="12" name="图片 11">
                            <a:extLst>
                              <a:ext uri="{FF2B5EF4-FFF2-40B4-BE49-F238E27FC236}">
                                <a16:creationId xmlns:a16="http://schemas.microsoft.com/office/drawing/2014/main" id="{00000000-0008-0000-0000-00000C000000}"/>
                              </a:ext>
                            </a:extLst>
                          </pic:cNvPr>
                          <pic:cNvPicPr>
                            <a:picLocks noChangeAspect="1"/>
                          </pic:cNvPicPr>
                        </pic:nvPicPr>
                        <pic:blipFill>
                          <a:blip r:embed="rId8"/>
                          <a:stretch>
                            <a:fillRect/>
                          </a:stretch>
                        </pic:blipFill>
                        <pic:spPr>
                          <a:xfrm>
                            <a:off x="0" y="0"/>
                            <a:ext cx="552450" cy="5238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5650*900*850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7F0910">
        <w:trPr>
          <w:trHeight w:val="944"/>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4160*750*850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25.4mm，滑轨采用三节承重滑轨，门板采用阻尼铰链，配置C型拉手</w:t>
            </w:r>
          </w:p>
        </w:tc>
      </w:tr>
      <w:tr w:rsidR="007F0910" w:rsidRPr="007F0910" w:rsidTr="007F0910">
        <w:trPr>
          <w:trHeight w:val="607"/>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4160*300*600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7F0910">
        <w:trPr>
          <w:trHeight w:val="547"/>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lastRenderedPageBreak/>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7F0910">
        <w:trPr>
          <w:trHeight w:val="556"/>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single" w:sz="4" w:space="0" w:color="000000"/>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7F0910">
        <w:trPr>
          <w:trHeight w:val="453"/>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000000" w:fill="FFFF00"/>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r w:rsidRPr="007F0910">
              <w:rPr>
                <w:rFonts w:ascii="宋体" w:eastAsia="宋体" w:hAnsi="宋体" w:cs="宋体" w:hint="eastAsia"/>
                <w:b/>
                <w:bCs/>
                <w:color w:val="000000"/>
                <w:kern w:val="0"/>
                <w:sz w:val="18"/>
                <w:szCs w:val="18"/>
              </w:rPr>
              <w:t>三代测序</w:t>
            </w:r>
          </w:p>
        </w:tc>
        <w:tc>
          <w:tcPr>
            <w:tcW w:w="1476" w:type="dxa"/>
            <w:tcBorders>
              <w:top w:val="nil"/>
              <w:left w:val="nil"/>
              <w:bottom w:val="nil"/>
              <w:right w:val="nil"/>
            </w:tcBorders>
            <w:shd w:val="clear" w:color="auto" w:fill="auto"/>
            <w:noWrap/>
            <w:vAlign w:val="center"/>
            <w:hideMark/>
          </w:tcPr>
          <w:p w:rsidR="007F0910" w:rsidRPr="007F0910" w:rsidRDefault="007F0910" w:rsidP="007F0910">
            <w:pPr>
              <w:widowControl/>
              <w:jc w:val="center"/>
              <w:rPr>
                <w:rFonts w:ascii="宋体" w:eastAsia="宋体" w:hAnsi="宋体" w:cs="宋体" w:hint="eastAsia"/>
                <w:b/>
                <w:bCs/>
                <w:color w:val="000000"/>
                <w:kern w:val="0"/>
                <w:sz w:val="18"/>
                <w:szCs w:val="18"/>
              </w:rPr>
            </w:pPr>
          </w:p>
        </w:tc>
        <w:tc>
          <w:tcPr>
            <w:tcW w:w="543" w:type="dxa"/>
            <w:tcBorders>
              <w:top w:val="nil"/>
              <w:left w:val="single" w:sz="4"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 xml:space="preserve">　</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rsidTr="007F0910">
        <w:trPr>
          <w:trHeight w:val="983"/>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加宽实验台</w:t>
            </w:r>
          </w:p>
        </w:tc>
        <w:tc>
          <w:tcPr>
            <w:tcW w:w="1134" w:type="dxa"/>
            <w:vMerge w:val="restart"/>
            <w:tcBorders>
              <w:top w:val="nil"/>
              <w:left w:val="nil"/>
              <w:bottom w:val="nil"/>
              <w:right w:val="nil"/>
            </w:tcBorders>
            <w:shd w:val="clear" w:color="auto" w:fill="auto"/>
            <w:noWrap/>
            <w:vAlign w:val="center"/>
            <w:hideMark/>
          </w:tcPr>
          <w:p w:rsidR="007F0910" w:rsidRPr="007F0910" w:rsidRDefault="007F0910" w:rsidP="007F0910">
            <w:pPr>
              <w:widowControl/>
              <w:jc w:val="left"/>
              <w:rPr>
                <w:rFonts w:ascii="宋体" w:eastAsia="宋体" w:hAnsi="宋体" w:cs="宋体" w:hint="eastAsia"/>
                <w:color w:val="000000"/>
                <w:kern w:val="0"/>
                <w:sz w:val="22"/>
              </w:rPr>
            </w:pPr>
            <w:r w:rsidRPr="007F0910">
              <w:rPr>
                <w:rFonts w:ascii="宋体" w:eastAsia="宋体" w:hAnsi="宋体" w:cs="宋体" w:hint="eastAsia"/>
                <w:noProof/>
                <w:color w:val="000000"/>
                <w:kern w:val="0"/>
                <w:sz w:val="22"/>
              </w:rPr>
              <w:drawing>
                <wp:anchor distT="0" distB="0" distL="114300" distR="114300" simplePos="0" relativeHeight="251658240" behindDoc="0" locked="0" layoutInCell="1" allowOverlap="1">
                  <wp:simplePos x="0" y="0"/>
                  <wp:positionH relativeFrom="column">
                    <wp:posOffset>20320</wp:posOffset>
                  </wp:positionH>
                  <wp:positionV relativeFrom="paragraph">
                    <wp:posOffset>16510</wp:posOffset>
                  </wp:positionV>
                  <wp:extent cx="561975" cy="533400"/>
                  <wp:effectExtent l="0" t="0" r="0" b="0"/>
                  <wp:wrapNone/>
                  <wp:docPr id="13" name="图片 1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a16="http://schemas.microsoft.com/office/drawing/2014/main" id="{00000000-0008-0000-0000-00000D000000}"/>
                              </a:ext>
                            </a:extLst>
                          </pic:cNvPr>
                          <pic:cNvPicPr>
                            <a:picLocks noChangeAspect="1"/>
                          </pic:cNvPicPr>
                        </pic:nvPicPr>
                        <pic:blipFill>
                          <a:blip r:embed="rId8"/>
                          <a:stretch>
                            <a:fillRect/>
                          </a:stretch>
                        </pic:blipFill>
                        <pic:spPr>
                          <a:xfrm>
                            <a:off x="0" y="0"/>
                            <a:ext cx="561975" cy="5334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08"/>
            </w:tblGrid>
            <w:tr w:rsidR="007F0910" w:rsidRPr="007F0910">
              <w:trPr>
                <w:trHeight w:val="312"/>
                <w:tblCellSpacing w:w="0" w:type="dxa"/>
              </w:trPr>
              <w:tc>
                <w:tcPr>
                  <w:tcW w:w="1900" w:type="dxa"/>
                  <w:vMerge w:val="restart"/>
                  <w:tcBorders>
                    <w:top w:val="nil"/>
                    <w:left w:val="single" w:sz="4" w:space="0" w:color="000000"/>
                    <w:bottom w:val="nil"/>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 xml:space="preserve">　</w:t>
                  </w:r>
                </w:p>
              </w:tc>
            </w:tr>
            <w:tr w:rsidR="007F0910" w:rsidRPr="007F0910">
              <w:trPr>
                <w:trHeight w:val="312"/>
                <w:tblCellSpacing w:w="0" w:type="dxa"/>
              </w:trPr>
              <w:tc>
                <w:tcPr>
                  <w:tcW w:w="0" w:type="auto"/>
                  <w:vMerge/>
                  <w:tcBorders>
                    <w:top w:val="nil"/>
                    <w:left w:val="single" w:sz="4" w:space="0" w:color="000000"/>
                    <w:bottom w:val="nil"/>
                    <w:right w:val="single" w:sz="4" w:space="0" w:color="000000"/>
                  </w:tcBorders>
                  <w:vAlign w:val="center"/>
                  <w:hideMark/>
                </w:tcPr>
                <w:p w:rsidR="007F0910" w:rsidRPr="007F0910" w:rsidRDefault="007F0910" w:rsidP="007F0910">
                  <w:pPr>
                    <w:widowControl/>
                    <w:jc w:val="left"/>
                    <w:rPr>
                      <w:rFonts w:ascii="宋体" w:eastAsia="宋体" w:hAnsi="宋体" w:cs="宋体"/>
                      <w:color w:val="000000"/>
                      <w:kern w:val="0"/>
                      <w:sz w:val="18"/>
                      <w:szCs w:val="18"/>
                    </w:rPr>
                  </w:pPr>
                </w:p>
              </w:tc>
            </w:tr>
          </w:tbl>
          <w:p w:rsidR="007F0910" w:rsidRPr="007F0910" w:rsidRDefault="007F0910" w:rsidP="007F0910">
            <w:pPr>
              <w:widowControl/>
              <w:jc w:val="left"/>
              <w:rPr>
                <w:rFonts w:ascii="宋体" w:eastAsia="宋体" w:hAnsi="宋体" w:cs="宋体" w:hint="eastAsia"/>
                <w:color w:val="000000"/>
                <w:kern w:val="0"/>
                <w:sz w:val="22"/>
              </w:rPr>
            </w:pPr>
          </w:p>
        </w:tc>
        <w:tc>
          <w:tcPr>
            <w:tcW w:w="1476" w:type="dxa"/>
            <w:tcBorders>
              <w:top w:val="single" w:sz="4" w:space="0" w:color="000000"/>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color w:val="000000"/>
                <w:kern w:val="0"/>
                <w:sz w:val="18"/>
                <w:szCs w:val="18"/>
              </w:rPr>
            </w:pPr>
            <w:r w:rsidRPr="007F0910">
              <w:rPr>
                <w:rFonts w:ascii="宋体" w:eastAsia="宋体" w:hAnsi="宋体" w:cs="宋体" w:hint="eastAsia"/>
                <w:color w:val="000000"/>
                <w:kern w:val="0"/>
                <w:sz w:val="18"/>
                <w:szCs w:val="18"/>
              </w:rPr>
              <w:t>3990*900*850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25.4mm，滑轨采用三节承重滑轨，门板采用阻尼铰链，配置一体槽拉手</w:t>
            </w:r>
          </w:p>
        </w:tc>
      </w:tr>
      <w:tr w:rsidR="007F0910" w:rsidRPr="007F0910" w:rsidTr="007F0910">
        <w:trPr>
          <w:trHeight w:val="96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2</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实验台</w:t>
            </w:r>
          </w:p>
        </w:tc>
        <w:tc>
          <w:tcPr>
            <w:tcW w:w="1134" w:type="dxa"/>
            <w:vMerge/>
            <w:tcBorders>
              <w:top w:val="nil"/>
              <w:left w:val="nil"/>
              <w:bottom w:val="nil"/>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3500*750*850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全钢结构柜体，12.7mm厚理化板台面，</w:t>
            </w:r>
            <w:proofErr w:type="gramStart"/>
            <w:r w:rsidRPr="007F0910">
              <w:rPr>
                <w:rFonts w:ascii="宋体" w:eastAsia="宋体" w:hAnsi="宋体" w:cs="宋体" w:hint="eastAsia"/>
                <w:color w:val="000000"/>
                <w:kern w:val="0"/>
                <w:sz w:val="18"/>
                <w:szCs w:val="18"/>
              </w:rPr>
              <w:t>加厚边至</w:t>
            </w:r>
            <w:proofErr w:type="gramEnd"/>
            <w:r w:rsidRPr="007F0910">
              <w:rPr>
                <w:rFonts w:ascii="宋体" w:eastAsia="宋体" w:hAnsi="宋体" w:cs="宋体" w:hint="eastAsia"/>
                <w:color w:val="000000"/>
                <w:kern w:val="0"/>
                <w:sz w:val="18"/>
                <w:szCs w:val="18"/>
              </w:rPr>
              <w:t>25.4mm，滑轨采用三节承重滑轨，门板采用阻尼铰链，配置C型拉手</w:t>
            </w:r>
          </w:p>
        </w:tc>
      </w:tr>
      <w:tr w:rsidR="007F0910" w:rsidRPr="007F0910" w:rsidTr="007F0910">
        <w:trPr>
          <w:trHeight w:val="417"/>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吊柜</w:t>
            </w:r>
          </w:p>
        </w:tc>
        <w:tc>
          <w:tcPr>
            <w:tcW w:w="1134" w:type="dxa"/>
            <w:vMerge/>
            <w:tcBorders>
              <w:top w:val="nil"/>
              <w:left w:val="nil"/>
              <w:bottom w:val="nil"/>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3500*300*600</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延米</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全钢结构</w:t>
            </w:r>
          </w:p>
        </w:tc>
      </w:tr>
      <w:tr w:rsidR="007F0910" w:rsidRPr="007F0910" w:rsidTr="007F0910">
        <w:trPr>
          <w:trHeight w:val="36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4</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水盆水龙头</w:t>
            </w:r>
          </w:p>
        </w:tc>
        <w:tc>
          <w:tcPr>
            <w:tcW w:w="1134" w:type="dxa"/>
            <w:vMerge/>
            <w:tcBorders>
              <w:top w:val="nil"/>
              <w:left w:val="nil"/>
              <w:bottom w:val="nil"/>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500*400*300mm</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TOF或同等品牌</w:t>
            </w:r>
          </w:p>
        </w:tc>
      </w:tr>
      <w:tr w:rsidR="007F0910" w:rsidRPr="007F0910" w:rsidTr="007F0910">
        <w:trPr>
          <w:trHeight w:val="576"/>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5</w:t>
            </w:r>
          </w:p>
        </w:tc>
        <w:tc>
          <w:tcPr>
            <w:tcW w:w="959"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电源插座</w:t>
            </w:r>
          </w:p>
        </w:tc>
        <w:tc>
          <w:tcPr>
            <w:tcW w:w="1134" w:type="dxa"/>
            <w:vMerge/>
            <w:tcBorders>
              <w:top w:val="nil"/>
              <w:left w:val="nil"/>
              <w:bottom w:val="nil"/>
              <w:right w:val="nil"/>
            </w:tcBorders>
            <w:vAlign w:val="center"/>
            <w:hideMark/>
          </w:tcPr>
          <w:p w:rsidR="007F0910" w:rsidRPr="007F0910" w:rsidRDefault="007F0910" w:rsidP="007F0910">
            <w:pPr>
              <w:widowControl/>
              <w:jc w:val="left"/>
              <w:rPr>
                <w:rFonts w:ascii="宋体" w:eastAsia="宋体" w:hAnsi="宋体" w:cs="宋体"/>
                <w:color w:val="000000"/>
                <w:kern w:val="0"/>
                <w:sz w:val="22"/>
              </w:rPr>
            </w:pP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10孔插座</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泰力118型插座</w:t>
            </w:r>
          </w:p>
        </w:tc>
      </w:tr>
      <w:tr w:rsidR="007F0910" w:rsidRPr="007F0910" w:rsidTr="007F0910">
        <w:trPr>
          <w:trHeight w:val="1909"/>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6</w:t>
            </w:r>
          </w:p>
        </w:tc>
        <w:tc>
          <w:tcPr>
            <w:tcW w:w="959" w:type="dxa"/>
            <w:tcBorders>
              <w:top w:val="nil"/>
              <w:left w:val="nil"/>
              <w:bottom w:val="single" w:sz="4" w:space="0" w:color="000000"/>
              <w:right w:val="nil"/>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紧急喷淋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0" w:rsidRPr="007F0910" w:rsidRDefault="007F0910" w:rsidP="007F0910">
            <w:pPr>
              <w:widowControl/>
              <w:jc w:val="left"/>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18"/>
                <w:szCs w:val="18"/>
              </w:rPr>
              <w:drawing>
                <wp:anchor distT="0" distB="0" distL="114300" distR="114300" simplePos="0" relativeHeight="251658240" behindDoc="0" locked="0" layoutInCell="1" allowOverlap="1">
                  <wp:simplePos x="0" y="0"/>
                  <wp:positionH relativeFrom="column">
                    <wp:posOffset>28575</wp:posOffset>
                  </wp:positionH>
                  <wp:positionV relativeFrom="paragraph">
                    <wp:posOffset>27940</wp:posOffset>
                  </wp:positionV>
                  <wp:extent cx="542925" cy="714375"/>
                  <wp:effectExtent l="0" t="0" r="0" b="9525"/>
                  <wp:wrapNone/>
                  <wp:docPr id="14" name="图片 1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id="{00000000-0008-0000-0000-00000E00000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714375"/>
                          </a:xfrm>
                          <a:prstGeom prst="rect">
                            <a:avLst/>
                          </a:prstGeom>
                        </pic:spPr>
                      </pic:pic>
                    </a:graphicData>
                  </a:graphic>
                  <wp14:sizeRelH relativeFrom="page">
                    <wp14:pctWidth>0</wp14:pctWidth>
                  </wp14:sizeRelH>
                  <wp14:sizeRelV relativeFrom="page">
                    <wp14:pctHeight>0</wp14:pctHeight>
                  </wp14:sizeRelV>
                </wp:anchor>
              </w:drawing>
            </w: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落地式</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left"/>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1.冲淋装置水流为80-180升/分，可连续使用15分钟以上；</w:t>
            </w:r>
            <w:r w:rsidRPr="007F0910">
              <w:rPr>
                <w:rFonts w:ascii="宋体" w:eastAsia="宋体" w:hAnsi="宋体" w:cs="宋体" w:hint="eastAsia"/>
                <w:color w:val="000000"/>
                <w:kern w:val="0"/>
                <w:sz w:val="18"/>
                <w:szCs w:val="18"/>
              </w:rPr>
              <w:br/>
              <w:t>2.</w:t>
            </w:r>
            <w:proofErr w:type="gramStart"/>
            <w:r w:rsidRPr="007F0910">
              <w:rPr>
                <w:rFonts w:ascii="宋体" w:eastAsia="宋体" w:hAnsi="宋体" w:cs="宋体" w:hint="eastAsia"/>
                <w:color w:val="000000"/>
                <w:kern w:val="0"/>
                <w:sz w:val="18"/>
                <w:szCs w:val="18"/>
              </w:rPr>
              <w:t>洗眼器可</w:t>
            </w:r>
            <w:proofErr w:type="gramEnd"/>
            <w:r w:rsidRPr="007F0910">
              <w:rPr>
                <w:rFonts w:ascii="宋体" w:eastAsia="宋体" w:hAnsi="宋体" w:cs="宋体" w:hint="eastAsia"/>
                <w:color w:val="000000"/>
                <w:kern w:val="0"/>
                <w:sz w:val="18"/>
                <w:szCs w:val="18"/>
              </w:rPr>
              <w:t>调节水流为9-16升/分，可连续使用15分钟以上；</w:t>
            </w:r>
            <w:r w:rsidRPr="007F0910">
              <w:rPr>
                <w:rFonts w:ascii="宋体" w:eastAsia="宋体" w:hAnsi="宋体" w:cs="宋体" w:hint="eastAsia"/>
                <w:color w:val="000000"/>
                <w:kern w:val="0"/>
                <w:sz w:val="18"/>
                <w:szCs w:val="18"/>
              </w:rPr>
              <w:br/>
              <w:t>主要材料选用无毒不锈钢304，无毒、无害、耐酸碱，不易生锈。</w:t>
            </w:r>
          </w:p>
        </w:tc>
      </w:tr>
      <w:tr w:rsidR="007F0910" w:rsidRPr="007F0910" w:rsidTr="007F0910">
        <w:trPr>
          <w:trHeight w:val="1572"/>
        </w:trPr>
        <w:tc>
          <w:tcPr>
            <w:tcW w:w="424" w:type="dxa"/>
            <w:tcBorders>
              <w:top w:val="nil"/>
              <w:left w:val="single" w:sz="8" w:space="0" w:color="000000"/>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7</w:t>
            </w:r>
          </w:p>
        </w:tc>
        <w:tc>
          <w:tcPr>
            <w:tcW w:w="959" w:type="dxa"/>
            <w:tcBorders>
              <w:top w:val="nil"/>
              <w:left w:val="nil"/>
              <w:bottom w:val="single" w:sz="4" w:space="0" w:color="000000"/>
              <w:right w:val="nil"/>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proofErr w:type="gramStart"/>
            <w:r w:rsidRPr="007F0910">
              <w:rPr>
                <w:rFonts w:ascii="宋体" w:eastAsia="宋体" w:hAnsi="宋体" w:cs="宋体" w:hint="eastAsia"/>
                <w:color w:val="000000"/>
                <w:kern w:val="0"/>
                <w:sz w:val="18"/>
                <w:szCs w:val="18"/>
              </w:rPr>
              <w:t>洗眼器</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F0910" w:rsidRPr="007F0910" w:rsidRDefault="007F0910" w:rsidP="007F0910">
            <w:pPr>
              <w:widowControl/>
              <w:jc w:val="left"/>
              <w:rPr>
                <w:rFonts w:ascii="宋体" w:eastAsia="宋体" w:hAnsi="宋体" w:cs="宋体" w:hint="eastAsia"/>
                <w:color w:val="000000"/>
                <w:kern w:val="0"/>
                <w:sz w:val="18"/>
                <w:szCs w:val="18"/>
              </w:rPr>
            </w:pPr>
            <w:r w:rsidRPr="007F0910">
              <w:rPr>
                <w:rFonts w:ascii="宋体" w:eastAsia="宋体" w:hAnsi="宋体" w:cs="宋体" w:hint="eastAsia"/>
                <w:noProof/>
                <w:color w:val="000000"/>
                <w:kern w:val="0"/>
                <w:sz w:val="18"/>
                <w:szCs w:val="18"/>
              </w:rPr>
              <w:drawing>
                <wp:anchor distT="0" distB="0" distL="114300" distR="114300" simplePos="0" relativeHeight="251658240" behindDoc="0" locked="0" layoutInCell="1" allowOverlap="1">
                  <wp:simplePos x="0" y="0"/>
                  <wp:positionH relativeFrom="column">
                    <wp:posOffset>41275</wp:posOffset>
                  </wp:positionH>
                  <wp:positionV relativeFrom="paragraph">
                    <wp:posOffset>59055</wp:posOffset>
                  </wp:positionV>
                  <wp:extent cx="533400" cy="733425"/>
                  <wp:effectExtent l="0" t="0" r="0" b="0"/>
                  <wp:wrapNone/>
                  <wp:docPr id="17" name="图片 17">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picture">
                      <pic:pic xmlns:pic="http://schemas.openxmlformats.org/drawingml/2006/picture">
                        <pic:nvPicPr>
                          <pic:cNvPr id="17" name="图片 16">
                            <a:extLst>
                              <a:ext uri="{FF2B5EF4-FFF2-40B4-BE49-F238E27FC236}">
                                <a16:creationId xmlns:a16="http://schemas.microsoft.com/office/drawing/2014/main" id="{00000000-0008-0000-0000-00001100000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400" cy="733425"/>
                          </a:xfrm>
                          <a:prstGeom prst="rect">
                            <a:avLst/>
                          </a:prstGeom>
                        </pic:spPr>
                      </pic:pic>
                    </a:graphicData>
                  </a:graphic>
                  <wp14:sizeRelH relativeFrom="page">
                    <wp14:pctWidth>0</wp14:pctWidth>
                  </wp14:sizeRelH>
                  <wp14:sizeRelV relativeFrom="page">
                    <wp14:pctHeight>0</wp14:pctHeight>
                  </wp14:sizeRelV>
                </wp:anchor>
              </w:drawing>
            </w:r>
          </w:p>
        </w:tc>
        <w:tc>
          <w:tcPr>
            <w:tcW w:w="1476"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桌式</w:t>
            </w:r>
          </w:p>
        </w:tc>
        <w:tc>
          <w:tcPr>
            <w:tcW w:w="543" w:type="dxa"/>
            <w:tcBorders>
              <w:top w:val="nil"/>
              <w:left w:val="nil"/>
              <w:bottom w:val="single" w:sz="4" w:space="0" w:color="000000"/>
              <w:right w:val="single" w:sz="4" w:space="0" w:color="000000"/>
            </w:tcBorders>
            <w:shd w:val="clear" w:color="auto" w:fill="auto"/>
            <w:vAlign w:val="center"/>
            <w:hideMark/>
          </w:tcPr>
          <w:p w:rsidR="007F0910" w:rsidRPr="007F0910" w:rsidRDefault="007F0910" w:rsidP="007F0910">
            <w:pPr>
              <w:widowControl/>
              <w:jc w:val="center"/>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套</w:t>
            </w:r>
          </w:p>
        </w:tc>
        <w:tc>
          <w:tcPr>
            <w:tcW w:w="3686" w:type="dxa"/>
            <w:tcBorders>
              <w:top w:val="nil"/>
              <w:left w:val="nil"/>
              <w:bottom w:val="single" w:sz="4" w:space="0" w:color="000000"/>
              <w:right w:val="single" w:sz="8" w:space="0" w:color="000000"/>
            </w:tcBorders>
            <w:shd w:val="clear" w:color="auto" w:fill="auto"/>
            <w:vAlign w:val="center"/>
            <w:hideMark/>
          </w:tcPr>
          <w:p w:rsidR="007F0910" w:rsidRPr="007F0910" w:rsidRDefault="007F0910" w:rsidP="007F0910">
            <w:pPr>
              <w:widowControl/>
              <w:jc w:val="left"/>
              <w:rPr>
                <w:rFonts w:ascii="宋体" w:eastAsia="宋体" w:hAnsi="宋体" w:cs="宋体" w:hint="eastAsia"/>
                <w:color w:val="000000"/>
                <w:kern w:val="0"/>
                <w:sz w:val="18"/>
                <w:szCs w:val="18"/>
              </w:rPr>
            </w:pPr>
            <w:r w:rsidRPr="007F0910">
              <w:rPr>
                <w:rFonts w:ascii="宋体" w:eastAsia="宋体" w:hAnsi="宋体" w:cs="宋体" w:hint="eastAsia"/>
                <w:color w:val="000000"/>
                <w:kern w:val="0"/>
                <w:sz w:val="18"/>
                <w:szCs w:val="18"/>
              </w:rPr>
              <w:t>产品表面耐酸耐腐蚀.管子采用1寸饮用水管，连接件采用全铜制造，内壁防锈。技术资料：1.用G1寸管连接到饮用水管。2.最小水压4公斤。3.水量：</w:t>
            </w:r>
            <w:proofErr w:type="gramStart"/>
            <w:r w:rsidRPr="007F0910">
              <w:rPr>
                <w:rFonts w:ascii="宋体" w:eastAsia="宋体" w:hAnsi="宋体" w:cs="宋体" w:hint="eastAsia"/>
                <w:color w:val="000000"/>
                <w:kern w:val="0"/>
                <w:sz w:val="18"/>
                <w:szCs w:val="18"/>
              </w:rPr>
              <w:t>单洗眼</w:t>
            </w:r>
            <w:proofErr w:type="gramEnd"/>
            <w:r w:rsidRPr="007F0910">
              <w:rPr>
                <w:rFonts w:ascii="宋体" w:eastAsia="宋体" w:hAnsi="宋体" w:cs="宋体" w:hint="eastAsia"/>
                <w:color w:val="000000"/>
                <w:kern w:val="0"/>
                <w:sz w:val="18"/>
                <w:szCs w:val="18"/>
              </w:rPr>
              <w:t>器＞6升/分钟，</w:t>
            </w:r>
            <w:proofErr w:type="gramStart"/>
            <w:r w:rsidRPr="007F0910">
              <w:rPr>
                <w:rFonts w:ascii="宋体" w:eastAsia="宋体" w:hAnsi="宋体" w:cs="宋体" w:hint="eastAsia"/>
                <w:color w:val="000000"/>
                <w:kern w:val="0"/>
                <w:sz w:val="18"/>
                <w:szCs w:val="18"/>
              </w:rPr>
              <w:t>双洗眼</w:t>
            </w:r>
            <w:proofErr w:type="gramEnd"/>
            <w:r w:rsidRPr="007F0910">
              <w:rPr>
                <w:rFonts w:ascii="宋体" w:eastAsia="宋体" w:hAnsi="宋体" w:cs="宋体" w:hint="eastAsia"/>
                <w:color w:val="000000"/>
                <w:kern w:val="0"/>
                <w:sz w:val="18"/>
                <w:szCs w:val="18"/>
              </w:rPr>
              <w:t>器＞10升/分钟。</w:t>
            </w:r>
          </w:p>
        </w:tc>
      </w:tr>
    </w:tbl>
    <w:p w:rsidR="007F0910" w:rsidRPr="007F0910" w:rsidRDefault="007F0910">
      <w:pPr>
        <w:widowControl/>
        <w:jc w:val="left"/>
        <w:rPr>
          <w:rFonts w:ascii="宋体" w:eastAsia="宋体" w:hAnsi="宋体" w:hint="eastAsia"/>
          <w:b/>
          <w:szCs w:val="21"/>
        </w:rPr>
      </w:pPr>
    </w:p>
    <w:sectPr w:rsidR="007F0910" w:rsidRPr="007F09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D45" w:rsidRDefault="00C31D45">
      <w:r>
        <w:separator/>
      </w:r>
    </w:p>
  </w:endnote>
  <w:endnote w:type="continuationSeparator" w:id="0">
    <w:p w:rsidR="00C31D45" w:rsidRDefault="00C3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Content>
      <w:p w:rsidR="007F0910" w:rsidRDefault="007F0910">
        <w:pPr>
          <w:pStyle w:val="a4"/>
          <w:jc w:val="center"/>
        </w:pPr>
        <w:r>
          <w:fldChar w:fldCharType="begin"/>
        </w:r>
        <w:r>
          <w:instrText>PAGE   \* MERGEFORMAT</w:instrText>
        </w:r>
        <w:r>
          <w:fldChar w:fldCharType="separate"/>
        </w:r>
        <w:r>
          <w:rPr>
            <w:lang w:val="zh-CN"/>
          </w:rPr>
          <w:t>2</w:t>
        </w:r>
        <w:r>
          <w:fldChar w:fldCharType="end"/>
        </w:r>
      </w:p>
    </w:sdtContent>
  </w:sdt>
  <w:p w:rsidR="007F0910" w:rsidRDefault="007F09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D45" w:rsidRDefault="00C31D45">
      <w:r>
        <w:separator/>
      </w:r>
    </w:p>
  </w:footnote>
  <w:footnote w:type="continuationSeparator" w:id="0">
    <w:p w:rsidR="00C31D45" w:rsidRDefault="00C3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71C9"/>
    <w:rsid w:val="0002789D"/>
    <w:rsid w:val="00032ACC"/>
    <w:rsid w:val="0003581C"/>
    <w:rsid w:val="00064290"/>
    <w:rsid w:val="000C5ABC"/>
    <w:rsid w:val="00102DEC"/>
    <w:rsid w:val="00107768"/>
    <w:rsid w:val="00115C02"/>
    <w:rsid w:val="00120409"/>
    <w:rsid w:val="0014064E"/>
    <w:rsid w:val="001711FC"/>
    <w:rsid w:val="00186F83"/>
    <w:rsid w:val="00187637"/>
    <w:rsid w:val="00193F43"/>
    <w:rsid w:val="001B6610"/>
    <w:rsid w:val="001B67CD"/>
    <w:rsid w:val="001C268B"/>
    <w:rsid w:val="001C36B9"/>
    <w:rsid w:val="001E2523"/>
    <w:rsid w:val="001E74DA"/>
    <w:rsid w:val="001E7684"/>
    <w:rsid w:val="00215C80"/>
    <w:rsid w:val="0022198F"/>
    <w:rsid w:val="00232321"/>
    <w:rsid w:val="00236F1E"/>
    <w:rsid w:val="00236FD4"/>
    <w:rsid w:val="0024172A"/>
    <w:rsid w:val="002442DF"/>
    <w:rsid w:val="00246BB3"/>
    <w:rsid w:val="00260DDA"/>
    <w:rsid w:val="0026231B"/>
    <w:rsid w:val="002858F1"/>
    <w:rsid w:val="002952DD"/>
    <w:rsid w:val="002A6BCB"/>
    <w:rsid w:val="002C17F2"/>
    <w:rsid w:val="002C2538"/>
    <w:rsid w:val="002F3869"/>
    <w:rsid w:val="002F5B2E"/>
    <w:rsid w:val="00321B34"/>
    <w:rsid w:val="00330EE4"/>
    <w:rsid w:val="003441B5"/>
    <w:rsid w:val="00363104"/>
    <w:rsid w:val="003831F6"/>
    <w:rsid w:val="003B3290"/>
    <w:rsid w:val="003D225B"/>
    <w:rsid w:val="003E74E8"/>
    <w:rsid w:val="003F5A3D"/>
    <w:rsid w:val="0040458D"/>
    <w:rsid w:val="00416DF9"/>
    <w:rsid w:val="00445753"/>
    <w:rsid w:val="004472BC"/>
    <w:rsid w:val="00460FE2"/>
    <w:rsid w:val="0046485F"/>
    <w:rsid w:val="004660C5"/>
    <w:rsid w:val="00484A06"/>
    <w:rsid w:val="00493E3E"/>
    <w:rsid w:val="004A2E39"/>
    <w:rsid w:val="004A3A1C"/>
    <w:rsid w:val="004B00F1"/>
    <w:rsid w:val="004B75F6"/>
    <w:rsid w:val="004C53DA"/>
    <w:rsid w:val="004D050B"/>
    <w:rsid w:val="004E4039"/>
    <w:rsid w:val="004F387B"/>
    <w:rsid w:val="004F5E22"/>
    <w:rsid w:val="004F63A7"/>
    <w:rsid w:val="0050352C"/>
    <w:rsid w:val="00521C12"/>
    <w:rsid w:val="005263CC"/>
    <w:rsid w:val="005377C3"/>
    <w:rsid w:val="005453F1"/>
    <w:rsid w:val="00585B3A"/>
    <w:rsid w:val="00585E1D"/>
    <w:rsid w:val="00595D04"/>
    <w:rsid w:val="005A350C"/>
    <w:rsid w:val="005B1D84"/>
    <w:rsid w:val="005D1B6B"/>
    <w:rsid w:val="005D7D22"/>
    <w:rsid w:val="005F12B1"/>
    <w:rsid w:val="005F16BC"/>
    <w:rsid w:val="00610135"/>
    <w:rsid w:val="006166F5"/>
    <w:rsid w:val="00620B9F"/>
    <w:rsid w:val="00621327"/>
    <w:rsid w:val="00630DEC"/>
    <w:rsid w:val="00637C79"/>
    <w:rsid w:val="006401D5"/>
    <w:rsid w:val="00640259"/>
    <w:rsid w:val="00640332"/>
    <w:rsid w:val="006427E6"/>
    <w:rsid w:val="00643684"/>
    <w:rsid w:val="00645464"/>
    <w:rsid w:val="00653E5D"/>
    <w:rsid w:val="00665C0B"/>
    <w:rsid w:val="006971E7"/>
    <w:rsid w:val="00697595"/>
    <w:rsid w:val="00697831"/>
    <w:rsid w:val="006B4D40"/>
    <w:rsid w:val="006C3EF6"/>
    <w:rsid w:val="006C538D"/>
    <w:rsid w:val="006C75E3"/>
    <w:rsid w:val="007036A7"/>
    <w:rsid w:val="00704406"/>
    <w:rsid w:val="00716864"/>
    <w:rsid w:val="00724C14"/>
    <w:rsid w:val="0073057E"/>
    <w:rsid w:val="007325D7"/>
    <w:rsid w:val="0073416A"/>
    <w:rsid w:val="00756DB4"/>
    <w:rsid w:val="00782827"/>
    <w:rsid w:val="007B2A24"/>
    <w:rsid w:val="007B4B78"/>
    <w:rsid w:val="007C4320"/>
    <w:rsid w:val="007C5B45"/>
    <w:rsid w:val="007E3033"/>
    <w:rsid w:val="007F0910"/>
    <w:rsid w:val="008032A4"/>
    <w:rsid w:val="00806343"/>
    <w:rsid w:val="00814BE2"/>
    <w:rsid w:val="00814F7D"/>
    <w:rsid w:val="008257F9"/>
    <w:rsid w:val="00831B38"/>
    <w:rsid w:val="00832E65"/>
    <w:rsid w:val="00841AA3"/>
    <w:rsid w:val="0085475B"/>
    <w:rsid w:val="00861AD0"/>
    <w:rsid w:val="0087756E"/>
    <w:rsid w:val="0088470B"/>
    <w:rsid w:val="00890D8F"/>
    <w:rsid w:val="00892766"/>
    <w:rsid w:val="008A3E8A"/>
    <w:rsid w:val="008A548F"/>
    <w:rsid w:val="008C5CF1"/>
    <w:rsid w:val="008F41D7"/>
    <w:rsid w:val="00910266"/>
    <w:rsid w:val="0095017D"/>
    <w:rsid w:val="009533DE"/>
    <w:rsid w:val="009536F7"/>
    <w:rsid w:val="00962003"/>
    <w:rsid w:val="009623CC"/>
    <w:rsid w:val="0097691C"/>
    <w:rsid w:val="00990D35"/>
    <w:rsid w:val="00996FDF"/>
    <w:rsid w:val="009B40EF"/>
    <w:rsid w:val="009B69D9"/>
    <w:rsid w:val="009B729F"/>
    <w:rsid w:val="009D0EB6"/>
    <w:rsid w:val="009E15C3"/>
    <w:rsid w:val="009F38CB"/>
    <w:rsid w:val="00A130BB"/>
    <w:rsid w:val="00A31442"/>
    <w:rsid w:val="00A45E9B"/>
    <w:rsid w:val="00A62085"/>
    <w:rsid w:val="00A65802"/>
    <w:rsid w:val="00A66966"/>
    <w:rsid w:val="00A71C15"/>
    <w:rsid w:val="00AB72A0"/>
    <w:rsid w:val="00AD0187"/>
    <w:rsid w:val="00AD037B"/>
    <w:rsid w:val="00AD17D9"/>
    <w:rsid w:val="00AD3187"/>
    <w:rsid w:val="00AF0172"/>
    <w:rsid w:val="00B016D1"/>
    <w:rsid w:val="00B10A5B"/>
    <w:rsid w:val="00B11E88"/>
    <w:rsid w:val="00B22393"/>
    <w:rsid w:val="00B30530"/>
    <w:rsid w:val="00B343E0"/>
    <w:rsid w:val="00B352C8"/>
    <w:rsid w:val="00B4164D"/>
    <w:rsid w:val="00B53550"/>
    <w:rsid w:val="00B60D06"/>
    <w:rsid w:val="00B7097D"/>
    <w:rsid w:val="00B74DE7"/>
    <w:rsid w:val="00B80F6D"/>
    <w:rsid w:val="00B81D93"/>
    <w:rsid w:val="00B82142"/>
    <w:rsid w:val="00BA38C4"/>
    <w:rsid w:val="00BB3909"/>
    <w:rsid w:val="00BC0646"/>
    <w:rsid w:val="00BC1CBD"/>
    <w:rsid w:val="00BC78AD"/>
    <w:rsid w:val="00BF04E3"/>
    <w:rsid w:val="00C03123"/>
    <w:rsid w:val="00C039B5"/>
    <w:rsid w:val="00C05D8A"/>
    <w:rsid w:val="00C07635"/>
    <w:rsid w:val="00C1644E"/>
    <w:rsid w:val="00C3020F"/>
    <w:rsid w:val="00C31D45"/>
    <w:rsid w:val="00C3372C"/>
    <w:rsid w:val="00C40559"/>
    <w:rsid w:val="00C44AE2"/>
    <w:rsid w:val="00C501B5"/>
    <w:rsid w:val="00C731D7"/>
    <w:rsid w:val="00C76EAC"/>
    <w:rsid w:val="00C77842"/>
    <w:rsid w:val="00C8379E"/>
    <w:rsid w:val="00C84C79"/>
    <w:rsid w:val="00CA5850"/>
    <w:rsid w:val="00CB0272"/>
    <w:rsid w:val="00CC0CBD"/>
    <w:rsid w:val="00CD77CE"/>
    <w:rsid w:val="00CF358D"/>
    <w:rsid w:val="00D04DB2"/>
    <w:rsid w:val="00D1378B"/>
    <w:rsid w:val="00D318F7"/>
    <w:rsid w:val="00D569E7"/>
    <w:rsid w:val="00D61981"/>
    <w:rsid w:val="00D636DA"/>
    <w:rsid w:val="00D72ABD"/>
    <w:rsid w:val="00D81395"/>
    <w:rsid w:val="00DC1F43"/>
    <w:rsid w:val="00DD1EAC"/>
    <w:rsid w:val="00DE7687"/>
    <w:rsid w:val="00DF1414"/>
    <w:rsid w:val="00E01DEB"/>
    <w:rsid w:val="00E10CEA"/>
    <w:rsid w:val="00E11D6C"/>
    <w:rsid w:val="00E14F86"/>
    <w:rsid w:val="00E5130D"/>
    <w:rsid w:val="00E527A5"/>
    <w:rsid w:val="00E60126"/>
    <w:rsid w:val="00E65800"/>
    <w:rsid w:val="00E7421E"/>
    <w:rsid w:val="00E77497"/>
    <w:rsid w:val="00E77D53"/>
    <w:rsid w:val="00E81DA2"/>
    <w:rsid w:val="00E908E7"/>
    <w:rsid w:val="00E9108F"/>
    <w:rsid w:val="00EA7669"/>
    <w:rsid w:val="00EC70B0"/>
    <w:rsid w:val="00EE2845"/>
    <w:rsid w:val="00F12DD1"/>
    <w:rsid w:val="00F1332B"/>
    <w:rsid w:val="00F154F9"/>
    <w:rsid w:val="00F211DD"/>
    <w:rsid w:val="00F24810"/>
    <w:rsid w:val="00F52CCF"/>
    <w:rsid w:val="00F52DD6"/>
    <w:rsid w:val="00F5616E"/>
    <w:rsid w:val="00F6397B"/>
    <w:rsid w:val="00F73DB9"/>
    <w:rsid w:val="00F76F95"/>
    <w:rsid w:val="00F941A8"/>
    <w:rsid w:val="00FA6DCF"/>
    <w:rsid w:val="00FA7037"/>
    <w:rsid w:val="00FD1D46"/>
    <w:rsid w:val="00FD22C6"/>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4E3A88"/>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2344">
      <w:bodyDiv w:val="1"/>
      <w:marLeft w:val="0"/>
      <w:marRight w:val="0"/>
      <w:marTop w:val="0"/>
      <w:marBottom w:val="0"/>
      <w:divBdr>
        <w:top w:val="none" w:sz="0" w:space="0" w:color="auto"/>
        <w:left w:val="none" w:sz="0" w:space="0" w:color="auto"/>
        <w:bottom w:val="none" w:sz="0" w:space="0" w:color="auto"/>
        <w:right w:val="none" w:sz="0" w:space="0" w:color="auto"/>
      </w:divBdr>
    </w:div>
    <w:div w:id="56931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56040-2A55-4FD3-866C-6984D91D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8</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李超然</dc:creator>
  <cp:lastModifiedBy>李超然</cp:lastModifiedBy>
  <cp:revision>50</cp:revision>
  <cp:lastPrinted>2024-07-11T00:34:00Z</cp:lastPrinted>
  <dcterms:created xsi:type="dcterms:W3CDTF">2024-07-03T07:09:00Z</dcterms:created>
  <dcterms:modified xsi:type="dcterms:W3CDTF">2024-11-27T06:39:00Z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